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5DD5" w:rsidRDefault="006C0CF0" w:rsidP="006C0CF0">
      <w:pPr>
        <w:jc w:val="right"/>
      </w:pPr>
      <w:r>
        <w:rPr>
          <w:noProof/>
          <w:lang w:eastAsia="en-GB"/>
        </w:rPr>
        <w:drawing>
          <wp:anchor distT="0" distB="0" distL="114300" distR="114300" simplePos="0" relativeHeight="251658240" behindDoc="0" locked="0" layoutInCell="1" allowOverlap="1">
            <wp:simplePos x="0" y="0"/>
            <wp:positionH relativeFrom="column">
              <wp:align>right</wp:align>
            </wp:positionH>
            <wp:positionV relativeFrom="page">
              <wp:posOffset>360045</wp:posOffset>
            </wp:positionV>
            <wp:extent cx="1440180" cy="575945"/>
            <wp:effectExtent l="0" t="0" r="762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40180" cy="5759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C0CF0" w:rsidRDefault="006C0CF0"/>
    <w:p w:rsidR="006C0CF0" w:rsidRDefault="006C0CF0" w:rsidP="006C0CF0">
      <w:pPr>
        <w:jc w:val="center"/>
        <w:rPr>
          <w:rFonts w:ascii="Arial" w:hAnsi="Arial" w:cs="Arial"/>
          <w:sz w:val="48"/>
          <w:szCs w:val="48"/>
        </w:rPr>
      </w:pPr>
    </w:p>
    <w:p w:rsidR="006C0CF0" w:rsidRDefault="006C0CF0" w:rsidP="006C0CF0">
      <w:pPr>
        <w:jc w:val="center"/>
        <w:rPr>
          <w:rFonts w:ascii="Arial" w:hAnsi="Arial" w:cs="Arial"/>
          <w:sz w:val="48"/>
          <w:szCs w:val="48"/>
        </w:rPr>
      </w:pPr>
    </w:p>
    <w:p w:rsidR="006C0CF0" w:rsidRDefault="006C0CF0" w:rsidP="006C0CF0">
      <w:pPr>
        <w:jc w:val="center"/>
        <w:rPr>
          <w:rFonts w:ascii="Arial" w:hAnsi="Arial" w:cs="Arial"/>
          <w:sz w:val="48"/>
          <w:szCs w:val="48"/>
        </w:rPr>
      </w:pPr>
    </w:p>
    <w:p w:rsidR="006C0CF0" w:rsidRDefault="006C0CF0" w:rsidP="006C0CF0">
      <w:pPr>
        <w:jc w:val="center"/>
        <w:rPr>
          <w:rFonts w:ascii="Arial" w:hAnsi="Arial" w:cs="Arial"/>
          <w:sz w:val="48"/>
          <w:szCs w:val="48"/>
        </w:rPr>
      </w:pPr>
      <w:r w:rsidRPr="006C0CF0">
        <w:rPr>
          <w:rFonts w:ascii="Arial" w:hAnsi="Arial" w:cs="Arial"/>
          <w:sz w:val="48"/>
          <w:szCs w:val="48"/>
        </w:rPr>
        <w:t>Annual EDI report 2020</w:t>
      </w:r>
    </w:p>
    <w:p w:rsidR="006C0CF0" w:rsidRDefault="006C0CF0" w:rsidP="006C0CF0">
      <w:pPr>
        <w:jc w:val="center"/>
        <w:rPr>
          <w:rFonts w:ascii="Arial" w:hAnsi="Arial" w:cs="Arial"/>
          <w:sz w:val="48"/>
          <w:szCs w:val="48"/>
        </w:rPr>
      </w:pPr>
    </w:p>
    <w:p w:rsidR="006C0CF0" w:rsidRDefault="006C0CF0" w:rsidP="006C0CF0">
      <w:pPr>
        <w:jc w:val="center"/>
        <w:rPr>
          <w:rFonts w:ascii="Arial" w:hAnsi="Arial" w:cs="Arial"/>
          <w:sz w:val="48"/>
          <w:szCs w:val="48"/>
        </w:rPr>
      </w:pPr>
    </w:p>
    <w:p w:rsidR="006C0CF0" w:rsidRDefault="006C0CF0" w:rsidP="006C0CF0">
      <w:pPr>
        <w:jc w:val="center"/>
        <w:rPr>
          <w:rFonts w:ascii="Arial" w:hAnsi="Arial" w:cs="Arial"/>
          <w:sz w:val="48"/>
          <w:szCs w:val="48"/>
        </w:rPr>
      </w:pPr>
    </w:p>
    <w:p w:rsidR="006C0CF0" w:rsidRDefault="006C0CF0" w:rsidP="006C0CF0">
      <w:pPr>
        <w:jc w:val="center"/>
        <w:rPr>
          <w:rFonts w:ascii="Arial" w:hAnsi="Arial" w:cs="Arial"/>
          <w:sz w:val="48"/>
          <w:szCs w:val="48"/>
        </w:rPr>
      </w:pPr>
    </w:p>
    <w:p w:rsidR="006C0CF0" w:rsidRDefault="006C0CF0" w:rsidP="006C0CF0">
      <w:pPr>
        <w:jc w:val="center"/>
        <w:rPr>
          <w:rFonts w:ascii="Arial" w:hAnsi="Arial" w:cs="Arial"/>
          <w:sz w:val="48"/>
          <w:szCs w:val="48"/>
        </w:rPr>
      </w:pPr>
    </w:p>
    <w:p w:rsidR="006C0CF0" w:rsidRDefault="006C0CF0" w:rsidP="006C0CF0">
      <w:pPr>
        <w:jc w:val="center"/>
        <w:rPr>
          <w:rFonts w:ascii="Arial" w:hAnsi="Arial" w:cs="Arial"/>
          <w:sz w:val="48"/>
          <w:szCs w:val="48"/>
        </w:rPr>
      </w:pPr>
    </w:p>
    <w:p w:rsidR="006C0CF0" w:rsidRDefault="006C0CF0" w:rsidP="006C0CF0">
      <w:pPr>
        <w:jc w:val="center"/>
        <w:rPr>
          <w:rFonts w:ascii="Arial" w:hAnsi="Arial" w:cs="Arial"/>
          <w:sz w:val="48"/>
          <w:szCs w:val="48"/>
        </w:rPr>
      </w:pPr>
    </w:p>
    <w:p w:rsidR="006C0CF0" w:rsidRDefault="006C0CF0" w:rsidP="006C0CF0">
      <w:pPr>
        <w:jc w:val="center"/>
        <w:rPr>
          <w:rFonts w:ascii="Arial" w:hAnsi="Arial" w:cs="Arial"/>
          <w:sz w:val="48"/>
          <w:szCs w:val="48"/>
        </w:rPr>
      </w:pPr>
    </w:p>
    <w:p w:rsidR="006C0CF0" w:rsidRDefault="006C0CF0" w:rsidP="006C0CF0">
      <w:pPr>
        <w:jc w:val="center"/>
        <w:rPr>
          <w:rFonts w:ascii="Arial" w:hAnsi="Arial" w:cs="Arial"/>
          <w:sz w:val="48"/>
          <w:szCs w:val="48"/>
        </w:rPr>
      </w:pPr>
    </w:p>
    <w:p w:rsidR="006C0CF0" w:rsidRDefault="006C0CF0" w:rsidP="006C0CF0">
      <w:pPr>
        <w:jc w:val="center"/>
        <w:rPr>
          <w:rFonts w:ascii="Arial" w:hAnsi="Arial" w:cs="Arial"/>
          <w:sz w:val="48"/>
          <w:szCs w:val="48"/>
        </w:rPr>
      </w:pPr>
    </w:p>
    <w:p w:rsidR="006C0CF0" w:rsidRDefault="006C0CF0" w:rsidP="006C0CF0">
      <w:pPr>
        <w:jc w:val="center"/>
        <w:rPr>
          <w:rFonts w:ascii="Arial" w:hAnsi="Arial" w:cs="Arial"/>
          <w:sz w:val="48"/>
          <w:szCs w:val="48"/>
        </w:rPr>
      </w:pPr>
    </w:p>
    <w:p w:rsidR="006C0CF0" w:rsidRDefault="006C0CF0" w:rsidP="006C0CF0">
      <w:pPr>
        <w:rPr>
          <w:rFonts w:ascii="Arial" w:hAnsi="Arial" w:cs="Arial"/>
        </w:rPr>
      </w:pPr>
    </w:p>
    <w:p w:rsidR="006C0CF0" w:rsidRPr="006C0CF0" w:rsidRDefault="006C0CF0" w:rsidP="006C0CF0">
      <w:pPr>
        <w:rPr>
          <w:rFonts w:ascii="Arial" w:hAnsi="Arial" w:cs="Arial"/>
          <w:b/>
        </w:rPr>
      </w:pPr>
      <w:r w:rsidRPr="006C0CF0">
        <w:rPr>
          <w:rFonts w:ascii="Arial" w:hAnsi="Arial" w:cs="Arial"/>
          <w:b/>
        </w:rPr>
        <w:lastRenderedPageBreak/>
        <w:t>Introduction</w:t>
      </w:r>
    </w:p>
    <w:p w:rsidR="006C0CF0" w:rsidRDefault="006C0CF0" w:rsidP="006C0CF0">
      <w:pPr>
        <w:rPr>
          <w:rFonts w:ascii="Arial" w:hAnsi="Arial" w:cs="Arial"/>
        </w:rPr>
      </w:pPr>
      <w:r w:rsidRPr="006C0CF0">
        <w:rPr>
          <w:rFonts w:ascii="Arial" w:hAnsi="Arial" w:cs="Arial"/>
        </w:rPr>
        <w:t xml:space="preserve">St Helens and </w:t>
      </w:r>
      <w:proofErr w:type="spellStart"/>
      <w:r w:rsidRPr="006C0CF0">
        <w:rPr>
          <w:rFonts w:ascii="Arial" w:hAnsi="Arial" w:cs="Arial"/>
        </w:rPr>
        <w:t>Knowsley</w:t>
      </w:r>
      <w:proofErr w:type="spellEnd"/>
      <w:r w:rsidRPr="006C0CF0">
        <w:rPr>
          <w:rFonts w:ascii="Arial" w:hAnsi="Arial" w:cs="Arial"/>
        </w:rPr>
        <w:t xml:space="preserve"> Teaching Hospitals NHS Trust provides a full range of acute and intermediate healthcare services across our sites at St Helens, </w:t>
      </w:r>
      <w:proofErr w:type="spellStart"/>
      <w:r w:rsidRPr="006C0CF0">
        <w:rPr>
          <w:rFonts w:ascii="Arial" w:hAnsi="Arial" w:cs="Arial"/>
        </w:rPr>
        <w:t>Whiston</w:t>
      </w:r>
      <w:proofErr w:type="spellEnd"/>
      <w:r w:rsidRPr="006C0CF0">
        <w:rPr>
          <w:rFonts w:ascii="Arial" w:hAnsi="Arial" w:cs="Arial"/>
        </w:rPr>
        <w:t xml:space="preserve"> and Newton hospitals, including inpatient, outpatient, </w:t>
      </w:r>
      <w:proofErr w:type="gramStart"/>
      <w:r w:rsidRPr="006C0CF0">
        <w:rPr>
          <w:rFonts w:ascii="Arial" w:hAnsi="Arial" w:cs="Arial"/>
        </w:rPr>
        <w:t>intermediate</w:t>
      </w:r>
      <w:proofErr w:type="gramEnd"/>
      <w:r w:rsidRPr="006C0CF0">
        <w:rPr>
          <w:rFonts w:ascii="Arial" w:hAnsi="Arial" w:cs="Arial"/>
        </w:rPr>
        <w:t xml:space="preserve"> care, maternity and emergency services. Alongside these community and secondary care services, the Trust also provides primary care services from the Marshalls Cross Medical Centre, which is situated inside St Helens Hospital. In addition, all St Helens Community Services </w:t>
      </w:r>
      <w:r>
        <w:rPr>
          <w:rFonts w:ascii="Arial" w:hAnsi="Arial" w:cs="Arial"/>
        </w:rPr>
        <w:t>were</w:t>
      </w:r>
      <w:r w:rsidRPr="006C0CF0">
        <w:rPr>
          <w:rFonts w:ascii="Arial" w:hAnsi="Arial" w:cs="Arial"/>
        </w:rPr>
        <w:t xml:space="preserve"> transferred to the Trust with effect from 1 April 2020.</w:t>
      </w:r>
    </w:p>
    <w:p w:rsidR="006C0CF0" w:rsidRPr="006C0CF0" w:rsidRDefault="006C0CF0" w:rsidP="006C0CF0">
      <w:pPr>
        <w:rPr>
          <w:rFonts w:ascii="Arial" w:hAnsi="Arial" w:cs="Arial"/>
        </w:rPr>
      </w:pPr>
      <w:r w:rsidRPr="006C0CF0">
        <w:rPr>
          <w:rFonts w:ascii="Arial" w:hAnsi="Arial" w:cs="Arial"/>
        </w:rPr>
        <w:t xml:space="preserve">The Trust has an excellent track record of providing high standards of care to a population of approximately 360,000 people principally from St Helens, </w:t>
      </w:r>
      <w:proofErr w:type="spellStart"/>
      <w:r w:rsidRPr="006C0CF0">
        <w:rPr>
          <w:rFonts w:ascii="Arial" w:hAnsi="Arial" w:cs="Arial"/>
        </w:rPr>
        <w:t>Knowsley</w:t>
      </w:r>
      <w:proofErr w:type="spellEnd"/>
      <w:r w:rsidRPr="006C0CF0">
        <w:rPr>
          <w:rFonts w:ascii="Arial" w:hAnsi="Arial" w:cs="Arial"/>
        </w:rPr>
        <w:t xml:space="preserve">, </w:t>
      </w:r>
      <w:proofErr w:type="spellStart"/>
      <w:r w:rsidRPr="006C0CF0">
        <w:rPr>
          <w:rFonts w:ascii="Arial" w:hAnsi="Arial" w:cs="Arial"/>
        </w:rPr>
        <w:t>Halton</w:t>
      </w:r>
      <w:proofErr w:type="spellEnd"/>
      <w:r w:rsidRPr="006C0CF0">
        <w:rPr>
          <w:rFonts w:ascii="Arial" w:hAnsi="Arial" w:cs="Arial"/>
        </w:rPr>
        <w:t>, and Liverpool, but also from other neighbouring areas such as Warrington, Ormskirk and Wigan. In addition, the Mersey Regional Burns and Plastic Surgery Unit provides treatment for patients across Merseyside, Cheshire, North Wales, the Isle of Man and other parts of the North West, serving a population of over 4 million.</w:t>
      </w:r>
    </w:p>
    <w:p w:rsidR="006C0CF0" w:rsidRDefault="006C0CF0" w:rsidP="006C0CF0">
      <w:pPr>
        <w:rPr>
          <w:rFonts w:ascii="Arial" w:hAnsi="Arial" w:cs="Arial"/>
        </w:rPr>
      </w:pPr>
      <w:r w:rsidRPr="006C0CF0">
        <w:rPr>
          <w:rFonts w:ascii="Arial" w:hAnsi="Arial" w:cs="Arial"/>
        </w:rPr>
        <w:t xml:space="preserve">The Trust employed an average of 5,543 full time equivalent (FTE) staff during </w:t>
      </w:r>
      <w:r>
        <w:rPr>
          <w:rFonts w:ascii="Arial" w:hAnsi="Arial" w:cs="Arial"/>
        </w:rPr>
        <w:t>2020</w:t>
      </w:r>
      <w:r w:rsidRPr="006C0CF0">
        <w:rPr>
          <w:rFonts w:ascii="Arial" w:hAnsi="Arial" w:cs="Arial"/>
        </w:rPr>
        <w:t>, including 425 temporary staff. The communities served by the Trust are characterised by their industrial past, with local people being generally less healthy than the rest of England, and a higher proportion suffering from at least one long-term health condition.</w:t>
      </w:r>
    </w:p>
    <w:p w:rsidR="006C0CF0" w:rsidRDefault="006C0CF0" w:rsidP="006C0CF0">
      <w:pPr>
        <w:rPr>
          <w:rFonts w:ascii="Arial" w:hAnsi="Arial" w:cs="Arial"/>
        </w:rPr>
      </w:pPr>
    </w:p>
    <w:p w:rsidR="006C0CF0" w:rsidRPr="006C0CF0" w:rsidRDefault="006C0CF0" w:rsidP="006C0CF0">
      <w:pPr>
        <w:rPr>
          <w:rFonts w:ascii="Arial" w:hAnsi="Arial" w:cs="Arial"/>
          <w:b/>
        </w:rPr>
      </w:pPr>
      <w:r w:rsidRPr="006C0CF0">
        <w:rPr>
          <w:rFonts w:ascii="Arial" w:hAnsi="Arial" w:cs="Arial"/>
          <w:b/>
        </w:rPr>
        <w:t>Our populations</w:t>
      </w:r>
    </w:p>
    <w:p w:rsidR="006C0CF0" w:rsidRPr="006C0CF0" w:rsidRDefault="006C0CF0" w:rsidP="006C0CF0">
      <w:pPr>
        <w:rPr>
          <w:rFonts w:ascii="Arial" w:hAnsi="Arial" w:cs="Arial"/>
        </w:rPr>
      </w:pPr>
      <w:r w:rsidRPr="006C0CF0">
        <w:rPr>
          <w:rFonts w:ascii="Arial" w:hAnsi="Arial" w:cs="Arial"/>
        </w:rPr>
        <w:t xml:space="preserve">The population served by the Trust resides principally in four local different local authority areas, St Helens, </w:t>
      </w:r>
      <w:proofErr w:type="spellStart"/>
      <w:r w:rsidRPr="006C0CF0">
        <w:rPr>
          <w:rFonts w:ascii="Arial" w:hAnsi="Arial" w:cs="Arial"/>
        </w:rPr>
        <w:t>Knowsley</w:t>
      </w:r>
      <w:proofErr w:type="spellEnd"/>
      <w:r w:rsidRPr="006C0CF0">
        <w:rPr>
          <w:rFonts w:ascii="Arial" w:hAnsi="Arial" w:cs="Arial"/>
        </w:rPr>
        <w:t xml:space="preserve">, </w:t>
      </w:r>
      <w:proofErr w:type="spellStart"/>
      <w:r w:rsidRPr="006C0CF0">
        <w:rPr>
          <w:rFonts w:ascii="Arial" w:hAnsi="Arial" w:cs="Arial"/>
        </w:rPr>
        <w:t>Halton</w:t>
      </w:r>
      <w:proofErr w:type="spellEnd"/>
      <w:r w:rsidRPr="006C0CF0">
        <w:rPr>
          <w:rFonts w:ascii="Arial" w:hAnsi="Arial" w:cs="Arial"/>
        </w:rPr>
        <w:t xml:space="preserve"> and Liverpool.</w:t>
      </w:r>
    </w:p>
    <w:p w:rsidR="006C0CF0" w:rsidRDefault="006C0CF0" w:rsidP="006C0CF0">
      <w:pPr>
        <w:rPr>
          <w:rFonts w:ascii="Arial" w:hAnsi="Arial" w:cs="Arial"/>
        </w:rPr>
      </w:pPr>
      <w:r w:rsidRPr="006C0CF0">
        <w:rPr>
          <w:rFonts w:ascii="Arial" w:hAnsi="Arial" w:cs="Arial"/>
        </w:rPr>
        <w:t>The communities served by the Trust are characterised by their industrial past, with local people being generally less healthy than the rest of England, and a higher proportion suffering from at least one long-term health condition. Rates of smoking, cancer, obesity, and heart disease, related to poor general health and nutrition, are significantly higher than the national average. Many areas also have high levels of deprivation, which in turn is linked to health inequalities.</w:t>
      </w:r>
    </w:p>
    <w:p w:rsidR="006C0CF0" w:rsidRPr="006C0CF0" w:rsidRDefault="006C0CF0" w:rsidP="006C0CF0">
      <w:pPr>
        <w:rPr>
          <w:rFonts w:ascii="Arial" w:hAnsi="Arial" w:cs="Arial"/>
        </w:rPr>
      </w:pPr>
      <w:r w:rsidRPr="006C0CF0">
        <w:rPr>
          <w:rFonts w:ascii="Arial" w:hAnsi="Arial" w:cs="Arial"/>
        </w:rPr>
        <w:t>The population in our catchment area is growing as a result of new housing developments and regeneration, but is also aging faster than the general population of the UK. This results in proportionally older people who are living in poor health.</w:t>
      </w:r>
    </w:p>
    <w:p w:rsidR="006C0CF0" w:rsidRDefault="006C0CF0" w:rsidP="006C0CF0">
      <w:pPr>
        <w:rPr>
          <w:rFonts w:ascii="Arial" w:hAnsi="Arial" w:cs="Arial"/>
        </w:rPr>
      </w:pPr>
      <w:r w:rsidRPr="006C0CF0">
        <w:rPr>
          <w:rFonts w:ascii="Arial" w:hAnsi="Arial" w:cs="Arial"/>
        </w:rPr>
        <w:t>All of these factors and the impact of the COVID-19 pandemic have given rise to a population with greater health needs that require increased access to both health and social care. In order to help create both clinically and financially sustainable services, the Trust is working in several different collaborations with other partners in the local health system.</w:t>
      </w:r>
    </w:p>
    <w:p w:rsidR="006C0CF0" w:rsidRPr="006C0CF0" w:rsidRDefault="006C0CF0" w:rsidP="006C0CF0">
      <w:pPr>
        <w:rPr>
          <w:rFonts w:ascii="Arial" w:hAnsi="Arial" w:cs="Arial"/>
          <w:b/>
        </w:rPr>
      </w:pPr>
      <w:r w:rsidRPr="006C0CF0">
        <w:rPr>
          <w:rFonts w:ascii="Arial" w:hAnsi="Arial" w:cs="Arial"/>
          <w:b/>
        </w:rPr>
        <w:t>St Helens</w:t>
      </w:r>
    </w:p>
    <w:p w:rsidR="006C0CF0" w:rsidRDefault="006C0CF0" w:rsidP="006C0CF0">
      <w:pPr>
        <w:pStyle w:val="Default"/>
        <w:rPr>
          <w:sz w:val="23"/>
          <w:szCs w:val="23"/>
        </w:rPr>
      </w:pPr>
      <w:r>
        <w:rPr>
          <w:sz w:val="23"/>
          <w:szCs w:val="23"/>
        </w:rPr>
        <w:t xml:space="preserve">The health of people in St. Helens is varied compared with the England average. St. Helens is one of the 20% most deprived districts/unitary authorities in England and 21% (6,270) of children live in low income families. Life expectancy for both men and women is lower than the England average (Local Authority Health Profile 2019). Life expectancy </w:t>
      </w:r>
      <w:r>
        <w:rPr>
          <w:sz w:val="23"/>
          <w:szCs w:val="23"/>
        </w:rPr>
        <w:lastRenderedPageBreak/>
        <w:t xml:space="preserve">is 77.8 years for men and 81.2 years for women in the area of St. Helens (Local Authority Health Profile 20193). </w:t>
      </w:r>
    </w:p>
    <w:p w:rsidR="006C0CF0" w:rsidRDefault="006C0CF0" w:rsidP="006C0CF0">
      <w:pPr>
        <w:pStyle w:val="Default"/>
        <w:rPr>
          <w:sz w:val="23"/>
          <w:szCs w:val="23"/>
        </w:rPr>
      </w:pPr>
      <w:r>
        <w:rPr>
          <w:sz w:val="23"/>
          <w:szCs w:val="23"/>
        </w:rPr>
        <w:t xml:space="preserve">Currently, 20.6% of the population are aged 65 years and above, which is higher than the national average of approximately 18.4% (ONS Mid-year Population Estimates 2019).St. Helens has a low proportion of the population Black or Minority Ethnic 3.4%, which includes 0.5% of the population in a white Irish ethnic group. 78.3% of the population declared themselves to be Christian whilst 15.1% declared to have no religion (Census 2011). </w:t>
      </w:r>
    </w:p>
    <w:p w:rsidR="006C0CF0" w:rsidRDefault="006C0CF0" w:rsidP="006C0CF0">
      <w:pPr>
        <w:pStyle w:val="Default"/>
        <w:rPr>
          <w:sz w:val="23"/>
          <w:szCs w:val="23"/>
        </w:rPr>
      </w:pPr>
    </w:p>
    <w:p w:rsidR="006C0CF0" w:rsidRDefault="006C0CF0" w:rsidP="006C0CF0">
      <w:pPr>
        <w:rPr>
          <w:rFonts w:ascii="Arial" w:hAnsi="Arial" w:cs="Arial"/>
          <w:b/>
        </w:rPr>
      </w:pPr>
      <w:proofErr w:type="spellStart"/>
      <w:r w:rsidRPr="006C0CF0">
        <w:rPr>
          <w:rFonts w:ascii="Arial" w:hAnsi="Arial" w:cs="Arial"/>
          <w:b/>
        </w:rPr>
        <w:t>Knowsley</w:t>
      </w:r>
      <w:proofErr w:type="spellEnd"/>
    </w:p>
    <w:p w:rsidR="006C0CF0" w:rsidRPr="006C0CF0" w:rsidRDefault="006C0CF0" w:rsidP="006C0CF0">
      <w:pPr>
        <w:rPr>
          <w:rFonts w:ascii="Arial" w:hAnsi="Arial" w:cs="Arial"/>
        </w:rPr>
      </w:pPr>
      <w:proofErr w:type="spellStart"/>
      <w:r w:rsidRPr="006C0CF0">
        <w:rPr>
          <w:rFonts w:ascii="Arial" w:hAnsi="Arial" w:cs="Arial"/>
        </w:rPr>
        <w:t>Knowsley</w:t>
      </w:r>
      <w:proofErr w:type="spellEnd"/>
      <w:r w:rsidRPr="006C0CF0">
        <w:rPr>
          <w:rFonts w:ascii="Arial" w:hAnsi="Arial" w:cs="Arial"/>
        </w:rPr>
        <w:t xml:space="preserve"> resident population is estimated at 150,900 at mid-year 2019 (ONS). The age structure of the Borough reflects the national trend of an ageing population. </w:t>
      </w:r>
      <w:proofErr w:type="spellStart"/>
      <w:r w:rsidRPr="006C0CF0">
        <w:rPr>
          <w:rFonts w:ascii="Arial" w:hAnsi="Arial" w:cs="Arial"/>
        </w:rPr>
        <w:t>Knowsley’s</w:t>
      </w:r>
      <w:proofErr w:type="spellEnd"/>
      <w:r w:rsidRPr="006C0CF0">
        <w:rPr>
          <w:rFonts w:ascii="Arial" w:hAnsi="Arial" w:cs="Arial"/>
        </w:rPr>
        <w:t xml:space="preserve"> working age population is projected to decline by 2030 (</w:t>
      </w:r>
      <w:proofErr w:type="spellStart"/>
      <w:r w:rsidRPr="006C0CF0">
        <w:rPr>
          <w:rFonts w:ascii="Arial" w:hAnsi="Arial" w:cs="Arial"/>
        </w:rPr>
        <w:t>Knowsley</w:t>
      </w:r>
      <w:proofErr w:type="spellEnd"/>
      <w:r w:rsidRPr="006C0CF0">
        <w:rPr>
          <w:rFonts w:ascii="Arial" w:hAnsi="Arial" w:cs="Arial"/>
        </w:rPr>
        <w:t xml:space="preserve"> Evidence Base Report 2030). Of </w:t>
      </w:r>
      <w:proofErr w:type="spellStart"/>
      <w:r w:rsidRPr="006C0CF0">
        <w:rPr>
          <w:rFonts w:ascii="Arial" w:hAnsi="Arial" w:cs="Arial"/>
        </w:rPr>
        <w:t>Knowsley’s</w:t>
      </w:r>
      <w:proofErr w:type="spellEnd"/>
      <w:r w:rsidRPr="006C0CF0">
        <w:rPr>
          <w:rFonts w:ascii="Arial" w:hAnsi="Arial" w:cs="Arial"/>
        </w:rPr>
        <w:t xml:space="preserve"> population, ONS estimate that 79,100 are female and 71,700 are male. 62.5% of people in </w:t>
      </w:r>
      <w:proofErr w:type="spellStart"/>
      <w:r w:rsidRPr="006C0CF0">
        <w:rPr>
          <w:rFonts w:ascii="Arial" w:hAnsi="Arial" w:cs="Arial"/>
        </w:rPr>
        <w:t>Knowsley</w:t>
      </w:r>
      <w:proofErr w:type="spellEnd"/>
      <w:r w:rsidRPr="006C0CF0">
        <w:rPr>
          <w:rFonts w:ascii="Arial" w:hAnsi="Arial" w:cs="Arial"/>
        </w:rPr>
        <w:t xml:space="preserve"> are aged between 16-64 (ONS population estimates 2019) National projections from the Office for National Statistics indicate that by 2030, </w:t>
      </w:r>
      <w:proofErr w:type="spellStart"/>
      <w:r w:rsidRPr="006C0CF0">
        <w:rPr>
          <w:rFonts w:ascii="Arial" w:hAnsi="Arial" w:cs="Arial"/>
        </w:rPr>
        <w:t>Knowsley</w:t>
      </w:r>
      <w:proofErr w:type="spellEnd"/>
      <w:r w:rsidRPr="006C0CF0">
        <w:rPr>
          <w:rFonts w:ascii="Arial" w:hAnsi="Arial" w:cs="Arial"/>
        </w:rPr>
        <w:t xml:space="preserve"> will have a population of 154,223.</w:t>
      </w:r>
    </w:p>
    <w:p w:rsidR="006C0CF0" w:rsidRPr="006C0CF0" w:rsidRDefault="006C0CF0" w:rsidP="006C0CF0">
      <w:pPr>
        <w:pStyle w:val="Default"/>
        <w:rPr>
          <w:rFonts w:ascii="Calibri" w:hAnsi="Calibri" w:cs="Calibri"/>
          <w:sz w:val="22"/>
          <w:szCs w:val="22"/>
        </w:rPr>
      </w:pPr>
      <w:r w:rsidRPr="006C0CF0">
        <w:t xml:space="preserve">The health of people in </w:t>
      </w:r>
      <w:proofErr w:type="spellStart"/>
      <w:r w:rsidRPr="006C0CF0">
        <w:t>Knowsley</w:t>
      </w:r>
      <w:proofErr w:type="spellEnd"/>
      <w:r w:rsidRPr="006C0CF0">
        <w:t xml:space="preserve"> is generally worse than the England average. </w:t>
      </w:r>
      <w:proofErr w:type="spellStart"/>
      <w:r w:rsidRPr="006C0CF0">
        <w:t>Knowsley</w:t>
      </w:r>
      <w:proofErr w:type="spellEnd"/>
      <w:r w:rsidRPr="006C0CF0">
        <w:t xml:space="preserve"> is one of the 20% most deprived districts/unitary authorities in England</w:t>
      </w:r>
      <w:r>
        <w:t xml:space="preserve"> </w:t>
      </w:r>
    </w:p>
    <w:p w:rsidR="006C0CF0" w:rsidRDefault="006C0CF0" w:rsidP="006C0CF0">
      <w:pPr>
        <w:rPr>
          <w:rFonts w:ascii="Arial" w:hAnsi="Arial" w:cs="Arial"/>
          <w:sz w:val="23"/>
          <w:szCs w:val="23"/>
        </w:rPr>
      </w:pPr>
      <w:proofErr w:type="gramStart"/>
      <w:r w:rsidRPr="006C0CF0">
        <w:rPr>
          <w:rFonts w:ascii="Arial" w:hAnsi="Arial" w:cs="Arial"/>
          <w:sz w:val="23"/>
          <w:szCs w:val="23"/>
        </w:rPr>
        <w:t>and</w:t>
      </w:r>
      <w:proofErr w:type="gramEnd"/>
      <w:r w:rsidRPr="006C0CF0">
        <w:rPr>
          <w:rFonts w:ascii="Arial" w:hAnsi="Arial" w:cs="Arial"/>
          <w:sz w:val="23"/>
          <w:szCs w:val="23"/>
        </w:rPr>
        <w:t xml:space="preserve"> 25% (7,460) of children live in low income families. Life expectancy for both men and women is lower than the England average (Local Authority Health Profile 2019). Life expectancy is 11.4 years lower for men and 12.6 years lower for women in the most deprived areas of </w:t>
      </w:r>
      <w:proofErr w:type="spellStart"/>
      <w:r w:rsidRPr="006C0CF0">
        <w:rPr>
          <w:rFonts w:ascii="Arial" w:hAnsi="Arial" w:cs="Arial"/>
          <w:sz w:val="23"/>
          <w:szCs w:val="23"/>
        </w:rPr>
        <w:t>Knowsley</w:t>
      </w:r>
      <w:proofErr w:type="spellEnd"/>
      <w:r w:rsidRPr="006C0CF0">
        <w:rPr>
          <w:rFonts w:ascii="Arial" w:hAnsi="Arial" w:cs="Arial"/>
          <w:sz w:val="23"/>
          <w:szCs w:val="23"/>
        </w:rPr>
        <w:t xml:space="preserve"> than in the least deprived areas. 17.10% of the population is aged over 65 in comparison with 18.20% of people in England (Office for National Statistics 2018).</w:t>
      </w:r>
    </w:p>
    <w:p w:rsidR="006C0CF0" w:rsidRDefault="006C0CF0" w:rsidP="006C0CF0">
      <w:pPr>
        <w:pStyle w:val="Default"/>
        <w:rPr>
          <w:sz w:val="23"/>
          <w:szCs w:val="23"/>
        </w:rPr>
      </w:pPr>
      <w:r>
        <w:rPr>
          <w:sz w:val="23"/>
          <w:szCs w:val="23"/>
        </w:rPr>
        <w:t>97.2%</w:t>
      </w:r>
      <w:r>
        <w:rPr>
          <w:sz w:val="16"/>
          <w:szCs w:val="16"/>
        </w:rPr>
        <w:t xml:space="preserve">5 </w:t>
      </w:r>
      <w:r>
        <w:rPr>
          <w:sz w:val="23"/>
          <w:szCs w:val="23"/>
        </w:rPr>
        <w:t xml:space="preserve">of </w:t>
      </w:r>
      <w:proofErr w:type="spellStart"/>
      <w:r>
        <w:rPr>
          <w:sz w:val="23"/>
          <w:szCs w:val="23"/>
        </w:rPr>
        <w:t>Knowsley’s</w:t>
      </w:r>
      <w:proofErr w:type="spellEnd"/>
      <w:r>
        <w:rPr>
          <w:sz w:val="23"/>
          <w:szCs w:val="23"/>
        </w:rPr>
        <w:t xml:space="preserve"> residents are White British, with the highest non-white population describing themselves as being of “Mixed Ethnic Origin” (1.3% of population). National data shows that the population is 85.4% White British, with Asian/British Asian comprising 7.8% of the population. </w:t>
      </w:r>
    </w:p>
    <w:p w:rsidR="006C0CF0" w:rsidRDefault="006C0CF0" w:rsidP="006C0CF0">
      <w:pPr>
        <w:rPr>
          <w:rFonts w:ascii="Arial" w:hAnsi="Arial" w:cs="Arial"/>
        </w:rPr>
      </w:pPr>
      <w:r w:rsidRPr="006C0CF0">
        <w:rPr>
          <w:rFonts w:ascii="Arial" w:hAnsi="Arial" w:cs="Arial"/>
        </w:rPr>
        <w:t xml:space="preserve">According to the 2011 census, 80.9% of people in </w:t>
      </w:r>
      <w:proofErr w:type="spellStart"/>
      <w:r w:rsidRPr="006C0CF0">
        <w:rPr>
          <w:rFonts w:ascii="Arial" w:hAnsi="Arial" w:cs="Arial"/>
        </w:rPr>
        <w:t>Knowsley</w:t>
      </w:r>
      <w:proofErr w:type="spellEnd"/>
      <w:r w:rsidRPr="006C0CF0">
        <w:rPr>
          <w:rFonts w:ascii="Arial" w:hAnsi="Arial" w:cs="Arial"/>
        </w:rPr>
        <w:t xml:space="preserve"> describe themselves as Christian, the highest proportion in any local authority in England and Wales. This is different to the national picture, where there appears to have been a shift in religious affiliation. Although, across England as a whole Christianity remains the largest religion, with 59% of the population identifying themselves as Christians.</w:t>
      </w:r>
    </w:p>
    <w:p w:rsidR="006C0CF0" w:rsidRDefault="006C0CF0" w:rsidP="006C0CF0">
      <w:pPr>
        <w:rPr>
          <w:rFonts w:ascii="Arial" w:hAnsi="Arial" w:cs="Arial"/>
          <w:b/>
        </w:rPr>
      </w:pPr>
      <w:r w:rsidRPr="006C0CF0">
        <w:rPr>
          <w:rFonts w:ascii="Arial" w:hAnsi="Arial" w:cs="Arial"/>
          <w:b/>
        </w:rPr>
        <w:t>Covid-19 pandemic</w:t>
      </w:r>
    </w:p>
    <w:p w:rsidR="006C0CF0" w:rsidRDefault="005C3329" w:rsidP="005C3329">
      <w:pPr>
        <w:rPr>
          <w:rFonts w:ascii="Arial" w:hAnsi="Arial" w:cs="Arial"/>
        </w:rPr>
      </w:pPr>
      <w:r w:rsidRPr="005C3329">
        <w:rPr>
          <w:rFonts w:ascii="Arial" w:hAnsi="Arial" w:cs="Arial"/>
        </w:rPr>
        <w:t>The COVID-19 outbreak has had a huge impact on core NHS servi</w:t>
      </w:r>
      <w:r>
        <w:rPr>
          <w:rFonts w:ascii="Arial" w:hAnsi="Arial" w:cs="Arial"/>
        </w:rPr>
        <w:t xml:space="preserve">ces. In order to free up enough </w:t>
      </w:r>
      <w:r w:rsidRPr="005C3329">
        <w:rPr>
          <w:rFonts w:ascii="Arial" w:hAnsi="Arial" w:cs="Arial"/>
        </w:rPr>
        <w:t>capacity to deal with the initial peak of the pandemic, the NHS was for</w:t>
      </w:r>
      <w:r>
        <w:rPr>
          <w:rFonts w:ascii="Arial" w:hAnsi="Arial" w:cs="Arial"/>
        </w:rPr>
        <w:t xml:space="preserve">ced to shut down or </w:t>
      </w:r>
      <w:r w:rsidRPr="005C3329">
        <w:rPr>
          <w:rFonts w:ascii="Arial" w:hAnsi="Arial" w:cs="Arial"/>
        </w:rPr>
        <w:t>significantly reduce many areas of non-COVID care d</w:t>
      </w:r>
      <w:r>
        <w:rPr>
          <w:rFonts w:ascii="Arial" w:hAnsi="Arial" w:cs="Arial"/>
        </w:rPr>
        <w:t xml:space="preserve">uring April, May and June 2020. This, combined </w:t>
      </w:r>
      <w:r w:rsidRPr="005C3329">
        <w:rPr>
          <w:rFonts w:ascii="Arial" w:hAnsi="Arial" w:cs="Arial"/>
        </w:rPr>
        <w:t>with fewer patients seeking care during lockdown, means that there</w:t>
      </w:r>
      <w:r>
        <w:rPr>
          <w:rFonts w:ascii="Arial" w:hAnsi="Arial" w:cs="Arial"/>
        </w:rPr>
        <w:t xml:space="preserve"> has been a significant drop in </w:t>
      </w:r>
      <w:r w:rsidRPr="005C3329">
        <w:rPr>
          <w:rFonts w:ascii="Arial" w:hAnsi="Arial" w:cs="Arial"/>
        </w:rPr>
        <w:t>elective procedures, urgent cancer referrals, first cancer treatmen</w:t>
      </w:r>
      <w:r>
        <w:rPr>
          <w:rFonts w:ascii="Arial" w:hAnsi="Arial" w:cs="Arial"/>
        </w:rPr>
        <w:t>ts and outpatient appointments</w:t>
      </w:r>
      <w:proofErr w:type="gramStart"/>
      <w:r>
        <w:rPr>
          <w:rFonts w:ascii="Arial" w:hAnsi="Arial" w:cs="Arial"/>
        </w:rPr>
        <w:t>.(</w:t>
      </w:r>
      <w:proofErr w:type="gramEnd"/>
      <w:r>
        <w:rPr>
          <w:rFonts w:ascii="Arial" w:hAnsi="Arial" w:cs="Arial"/>
        </w:rPr>
        <w:t xml:space="preserve">BMA </w:t>
      </w:r>
      <w:r w:rsidRPr="005C3329">
        <w:rPr>
          <w:rFonts w:ascii="Arial" w:hAnsi="Arial" w:cs="Arial"/>
        </w:rPr>
        <w:t>T</w:t>
      </w:r>
      <w:r>
        <w:rPr>
          <w:rFonts w:ascii="Arial" w:hAnsi="Arial" w:cs="Arial"/>
        </w:rPr>
        <w:t xml:space="preserve">he hidden impact of COVID-19 on </w:t>
      </w:r>
      <w:r w:rsidRPr="005C3329">
        <w:rPr>
          <w:rFonts w:ascii="Arial" w:hAnsi="Arial" w:cs="Arial"/>
        </w:rPr>
        <w:t>pat</w:t>
      </w:r>
      <w:r>
        <w:rPr>
          <w:rFonts w:ascii="Arial" w:hAnsi="Arial" w:cs="Arial"/>
        </w:rPr>
        <w:t>ient care in the NHS in England July 2020).</w:t>
      </w:r>
    </w:p>
    <w:p w:rsidR="005C3329" w:rsidRDefault="005C3329" w:rsidP="005C3329">
      <w:pPr>
        <w:rPr>
          <w:rFonts w:ascii="Arial" w:hAnsi="Arial" w:cs="Arial"/>
        </w:rPr>
      </w:pPr>
      <w:r w:rsidRPr="005C3329">
        <w:rPr>
          <w:rFonts w:ascii="Arial" w:hAnsi="Arial" w:cs="Arial"/>
        </w:rPr>
        <w:t xml:space="preserve">The COVID-19 pandemic led to an extensive shift in the package of care provided by the NHS as hospitals had to prepare for a large surge in patients requiring intensive care. With </w:t>
      </w:r>
      <w:r w:rsidRPr="005C3329">
        <w:rPr>
          <w:rFonts w:ascii="Arial" w:hAnsi="Arial" w:cs="Arial"/>
        </w:rPr>
        <w:lastRenderedPageBreak/>
        <w:t>services already under severe strain and functioning at maximum capacity in early 2020, unprecedented steps were needed to ensure COVID-19 care was not rationed and the NHS did not become overwhelmed. Sir Simon Stevens wrote to NHS bodies on 17 March to notify them that significant amounts of capacity would have to immediately be created by cancelling planned operations, large numbers of patients being discharged back into the community, and non-COVID-19 patients and staff conducting GP consultations remotely. 1 Whilst these changes meant that intensive care did not have to be rationed to COVID-19 patients, data indicates that the shutdown of most non-COVID services, combined with drastic changes in patient behaviour, mean the NHS is now facing a large backlog of non-COVID-19 care, storing up greater problems for the future. This paper investigates the extent to which non-COVID care has been disrupted over April, May and June 2020, and the likely impact this will have in the longer term.</w:t>
      </w:r>
      <w:r>
        <w:rPr>
          <w:rFonts w:ascii="Arial" w:hAnsi="Arial" w:cs="Arial"/>
        </w:rPr>
        <w:t xml:space="preserve"> </w:t>
      </w:r>
    </w:p>
    <w:p w:rsidR="005C3329" w:rsidRDefault="005C3329" w:rsidP="005C3329">
      <w:pPr>
        <w:rPr>
          <w:rFonts w:ascii="Arial" w:hAnsi="Arial" w:cs="Arial"/>
        </w:rPr>
      </w:pPr>
      <w:r w:rsidRPr="005C3329">
        <w:rPr>
          <w:rFonts w:ascii="Arial" w:hAnsi="Arial" w:cs="Arial"/>
        </w:rPr>
        <w:t>As the NHS begins the vital task of reopening non-COVID services,</w:t>
      </w:r>
      <w:r>
        <w:rPr>
          <w:rFonts w:ascii="Arial" w:hAnsi="Arial" w:cs="Arial"/>
        </w:rPr>
        <w:t xml:space="preserve"> it now faces a huge backlog of </w:t>
      </w:r>
      <w:r w:rsidRPr="005C3329">
        <w:rPr>
          <w:rFonts w:ascii="Arial" w:hAnsi="Arial" w:cs="Arial"/>
        </w:rPr>
        <w:t>unmet patient need, with patients now facing long waits for treatment.</w:t>
      </w:r>
      <w:r w:rsidRPr="005C3329">
        <w:rPr>
          <w:rFonts w:ascii="Arial" w:hAnsi="Arial" w:cs="Arial"/>
        </w:rPr>
        <w:t xml:space="preserve"> </w:t>
      </w:r>
      <w:r>
        <w:rPr>
          <w:rFonts w:ascii="Arial" w:hAnsi="Arial" w:cs="Arial"/>
        </w:rPr>
        <w:t>(</w:t>
      </w:r>
      <w:proofErr w:type="spellStart"/>
      <w:r>
        <w:rPr>
          <w:rFonts w:ascii="Arial" w:hAnsi="Arial" w:cs="Arial"/>
        </w:rPr>
        <w:t>BMA</w:t>
      </w:r>
      <w:proofErr w:type="gramStart"/>
      <w:r>
        <w:rPr>
          <w:rFonts w:ascii="Arial" w:hAnsi="Arial" w:cs="Arial"/>
        </w:rPr>
        <w:t>:</w:t>
      </w:r>
      <w:r w:rsidRPr="005C3329">
        <w:rPr>
          <w:rFonts w:ascii="Arial" w:hAnsi="Arial" w:cs="Arial"/>
        </w:rPr>
        <w:t>T</w:t>
      </w:r>
      <w:r>
        <w:rPr>
          <w:rFonts w:ascii="Arial" w:hAnsi="Arial" w:cs="Arial"/>
        </w:rPr>
        <w:t>he</w:t>
      </w:r>
      <w:proofErr w:type="spellEnd"/>
      <w:proofErr w:type="gramEnd"/>
      <w:r>
        <w:rPr>
          <w:rFonts w:ascii="Arial" w:hAnsi="Arial" w:cs="Arial"/>
        </w:rPr>
        <w:t xml:space="preserve"> hidden impact of COVID-19 on </w:t>
      </w:r>
      <w:r w:rsidRPr="005C3329">
        <w:rPr>
          <w:rFonts w:ascii="Arial" w:hAnsi="Arial" w:cs="Arial"/>
        </w:rPr>
        <w:t>pat</w:t>
      </w:r>
      <w:r>
        <w:rPr>
          <w:rFonts w:ascii="Arial" w:hAnsi="Arial" w:cs="Arial"/>
        </w:rPr>
        <w:t>ient care in the NHS in England July 2020).</w:t>
      </w:r>
    </w:p>
    <w:p w:rsidR="00AD62C4" w:rsidRDefault="00AD62C4" w:rsidP="005C3329">
      <w:pPr>
        <w:rPr>
          <w:rFonts w:ascii="Arial" w:hAnsi="Arial" w:cs="Arial"/>
        </w:rPr>
      </w:pPr>
    </w:p>
    <w:p w:rsidR="00AD62C4" w:rsidRDefault="00AD62C4" w:rsidP="005C3329">
      <w:pPr>
        <w:rPr>
          <w:rFonts w:ascii="Arial" w:hAnsi="Arial" w:cs="Arial"/>
        </w:rPr>
      </w:pPr>
      <w:r>
        <w:rPr>
          <w:rFonts w:ascii="Arial" w:hAnsi="Arial" w:cs="Arial"/>
        </w:rPr>
        <w:t>On the following pages are the statutory reports the Trust is required to produce as part of the specific equality duties, included as embedded documents.</w:t>
      </w:r>
    </w:p>
    <w:p w:rsidR="005C3329" w:rsidRDefault="005C3329" w:rsidP="005C3329">
      <w:pPr>
        <w:rPr>
          <w:rFonts w:ascii="Arial" w:hAnsi="Arial" w:cs="Arial"/>
        </w:rPr>
      </w:pPr>
    </w:p>
    <w:p w:rsidR="00E57119" w:rsidRDefault="00E57119" w:rsidP="005C3329">
      <w:pPr>
        <w:rPr>
          <w:rFonts w:ascii="Arial" w:hAnsi="Arial" w:cs="Arial"/>
        </w:rPr>
      </w:pPr>
    </w:p>
    <w:p w:rsidR="00E57119" w:rsidRDefault="00E57119" w:rsidP="005C3329">
      <w:pPr>
        <w:rPr>
          <w:rFonts w:ascii="Arial" w:hAnsi="Arial" w:cs="Arial"/>
        </w:rPr>
      </w:pPr>
    </w:p>
    <w:p w:rsidR="00E57119" w:rsidRDefault="00E57119" w:rsidP="005C3329">
      <w:pPr>
        <w:rPr>
          <w:rFonts w:ascii="Arial" w:hAnsi="Arial" w:cs="Arial"/>
        </w:rPr>
      </w:pPr>
    </w:p>
    <w:p w:rsidR="00E57119" w:rsidRDefault="00E57119" w:rsidP="005C3329">
      <w:pPr>
        <w:rPr>
          <w:rFonts w:ascii="Arial" w:hAnsi="Arial" w:cs="Arial"/>
        </w:rPr>
      </w:pPr>
    </w:p>
    <w:p w:rsidR="00E57119" w:rsidRDefault="00E57119" w:rsidP="005C3329">
      <w:pPr>
        <w:rPr>
          <w:rFonts w:ascii="Arial" w:hAnsi="Arial" w:cs="Arial"/>
        </w:rPr>
      </w:pPr>
    </w:p>
    <w:p w:rsidR="00E57119" w:rsidRDefault="00E57119" w:rsidP="005C3329">
      <w:pPr>
        <w:rPr>
          <w:rFonts w:ascii="Arial" w:hAnsi="Arial" w:cs="Arial"/>
        </w:rPr>
      </w:pPr>
    </w:p>
    <w:p w:rsidR="00E57119" w:rsidRDefault="00E57119" w:rsidP="005C3329">
      <w:pPr>
        <w:rPr>
          <w:rFonts w:ascii="Arial" w:hAnsi="Arial" w:cs="Arial"/>
        </w:rPr>
      </w:pPr>
    </w:p>
    <w:p w:rsidR="00E57119" w:rsidRDefault="00E57119" w:rsidP="005C3329">
      <w:pPr>
        <w:rPr>
          <w:rFonts w:ascii="Arial" w:hAnsi="Arial" w:cs="Arial"/>
        </w:rPr>
      </w:pPr>
    </w:p>
    <w:p w:rsidR="00E57119" w:rsidRDefault="00E57119" w:rsidP="005C3329">
      <w:pPr>
        <w:rPr>
          <w:rFonts w:ascii="Arial" w:hAnsi="Arial" w:cs="Arial"/>
        </w:rPr>
      </w:pPr>
    </w:p>
    <w:p w:rsidR="00E57119" w:rsidRDefault="00E57119" w:rsidP="005C3329">
      <w:pPr>
        <w:rPr>
          <w:rFonts w:ascii="Arial" w:hAnsi="Arial" w:cs="Arial"/>
        </w:rPr>
      </w:pPr>
    </w:p>
    <w:p w:rsidR="00E57119" w:rsidRDefault="00E57119" w:rsidP="005C3329">
      <w:pPr>
        <w:rPr>
          <w:rFonts w:ascii="Arial" w:hAnsi="Arial" w:cs="Arial"/>
        </w:rPr>
      </w:pPr>
    </w:p>
    <w:p w:rsidR="00E57119" w:rsidRDefault="00E57119" w:rsidP="005C3329">
      <w:pPr>
        <w:rPr>
          <w:rFonts w:ascii="Arial" w:hAnsi="Arial" w:cs="Arial"/>
        </w:rPr>
      </w:pPr>
    </w:p>
    <w:p w:rsidR="00E57119" w:rsidRDefault="00E57119" w:rsidP="005C3329">
      <w:pPr>
        <w:rPr>
          <w:rFonts w:ascii="Arial" w:hAnsi="Arial" w:cs="Arial"/>
        </w:rPr>
      </w:pPr>
    </w:p>
    <w:p w:rsidR="00E57119" w:rsidRDefault="00E57119" w:rsidP="005C3329">
      <w:pPr>
        <w:rPr>
          <w:rFonts w:ascii="Arial" w:hAnsi="Arial" w:cs="Arial"/>
        </w:rPr>
      </w:pPr>
    </w:p>
    <w:p w:rsidR="00E57119" w:rsidRPr="002F17FE" w:rsidRDefault="00E57119" w:rsidP="005C3329">
      <w:pPr>
        <w:rPr>
          <w:rFonts w:ascii="Arial" w:hAnsi="Arial" w:cs="Arial"/>
          <w:b/>
        </w:rPr>
      </w:pPr>
    </w:p>
    <w:p w:rsidR="005C3329" w:rsidRPr="002F17FE" w:rsidRDefault="005C3329" w:rsidP="005C3329">
      <w:pPr>
        <w:pStyle w:val="ListParagraph"/>
        <w:numPr>
          <w:ilvl w:val="0"/>
          <w:numId w:val="1"/>
        </w:numPr>
        <w:rPr>
          <w:rFonts w:ascii="Arial" w:hAnsi="Arial" w:cs="Arial"/>
          <w:b/>
        </w:rPr>
      </w:pPr>
      <w:r w:rsidRPr="002F17FE">
        <w:rPr>
          <w:rFonts w:ascii="Arial" w:hAnsi="Arial" w:cs="Arial"/>
          <w:b/>
        </w:rPr>
        <w:lastRenderedPageBreak/>
        <w:t>Equality Delivery System (EDS):</w:t>
      </w:r>
    </w:p>
    <w:p w:rsidR="005C3329" w:rsidRDefault="005C3329" w:rsidP="005C3329">
      <w:pPr>
        <w:ind w:left="360"/>
        <w:rPr>
          <w:rFonts w:ascii="Arial" w:hAnsi="Arial" w:cs="Arial"/>
        </w:rPr>
      </w:pPr>
      <w:r>
        <w:rPr>
          <w:rFonts w:ascii="Arial" w:hAnsi="Arial" w:cs="Arial"/>
        </w:rPr>
        <w:t>The Trust went through its external assessment for the EDS in April 2021, and the current grades are included below:</w:t>
      </w:r>
    </w:p>
    <w:tbl>
      <w:tblPr>
        <w:tblW w:w="8683" w:type="dxa"/>
        <w:tblCellMar>
          <w:left w:w="0" w:type="dxa"/>
          <w:right w:w="0" w:type="dxa"/>
        </w:tblCellMar>
        <w:tblLook w:val="04A0" w:firstRow="1" w:lastRow="0" w:firstColumn="1" w:lastColumn="0" w:noHBand="0" w:noVBand="1"/>
      </w:tblPr>
      <w:tblGrid>
        <w:gridCol w:w="2009"/>
        <w:gridCol w:w="1725"/>
        <w:gridCol w:w="1729"/>
        <w:gridCol w:w="1611"/>
        <w:gridCol w:w="1609"/>
      </w:tblGrid>
      <w:tr w:rsidR="00E57119" w:rsidRPr="00AD62C4" w:rsidTr="00E57119">
        <w:trPr>
          <w:trHeight w:val="148"/>
        </w:trPr>
        <w:tc>
          <w:tcPr>
            <w:tcW w:w="2009"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rsidR="00E57119" w:rsidRPr="00AD62C4" w:rsidRDefault="00E57119">
            <w:pPr>
              <w:rPr>
                <w:rFonts w:ascii="Arial" w:hAnsi="Arial" w:cs="Arial"/>
                <w:lang w:eastAsia="en-GB"/>
              </w:rPr>
            </w:pPr>
            <w:r w:rsidRPr="00AD62C4">
              <w:rPr>
                <w:rFonts w:ascii="Arial" w:hAnsi="Arial" w:cs="Arial"/>
                <w:b/>
                <w:bCs/>
                <w:color w:val="000000"/>
                <w:lang w:eastAsia="en-GB"/>
              </w:rPr>
              <w:t xml:space="preserve">Goal </w:t>
            </w:r>
          </w:p>
        </w:tc>
        <w:tc>
          <w:tcPr>
            <w:tcW w:w="1725" w:type="dxa"/>
            <w:tcBorders>
              <w:top w:val="single" w:sz="8" w:space="0" w:color="000000"/>
              <w:left w:val="nil"/>
              <w:bottom w:val="single" w:sz="8" w:space="0" w:color="000000"/>
              <w:right w:val="single" w:sz="8" w:space="0" w:color="000000"/>
            </w:tcBorders>
            <w:shd w:val="clear" w:color="auto" w:fill="C6D9F1"/>
            <w:tcMar>
              <w:top w:w="15" w:type="dxa"/>
              <w:left w:w="108" w:type="dxa"/>
              <w:bottom w:w="0" w:type="dxa"/>
              <w:right w:w="108" w:type="dxa"/>
            </w:tcMar>
            <w:hideMark/>
          </w:tcPr>
          <w:p w:rsidR="00E57119" w:rsidRPr="00AD62C4" w:rsidRDefault="00E57119">
            <w:pPr>
              <w:rPr>
                <w:rFonts w:ascii="Arial" w:hAnsi="Arial" w:cs="Arial"/>
                <w:lang w:eastAsia="en-GB"/>
              </w:rPr>
            </w:pPr>
            <w:r w:rsidRPr="00AD62C4">
              <w:rPr>
                <w:rFonts w:ascii="Arial" w:hAnsi="Arial" w:cs="Arial"/>
                <w:b/>
                <w:bCs/>
                <w:color w:val="000000"/>
                <w:lang w:eastAsia="en-GB"/>
              </w:rPr>
              <w:t>Outcome</w:t>
            </w:r>
          </w:p>
        </w:tc>
        <w:tc>
          <w:tcPr>
            <w:tcW w:w="1729" w:type="dxa"/>
            <w:tcBorders>
              <w:top w:val="single" w:sz="8" w:space="0" w:color="000000"/>
              <w:left w:val="nil"/>
              <w:bottom w:val="single" w:sz="8" w:space="0" w:color="000000"/>
              <w:right w:val="single" w:sz="8" w:space="0" w:color="000000"/>
            </w:tcBorders>
            <w:shd w:val="clear" w:color="auto" w:fill="C6D9F1"/>
            <w:tcMar>
              <w:top w:w="15" w:type="dxa"/>
              <w:left w:w="108" w:type="dxa"/>
              <w:bottom w:w="0" w:type="dxa"/>
              <w:right w:w="108" w:type="dxa"/>
            </w:tcMar>
            <w:hideMark/>
          </w:tcPr>
          <w:p w:rsidR="00E57119" w:rsidRPr="00AD62C4" w:rsidRDefault="00E57119">
            <w:pPr>
              <w:rPr>
                <w:rFonts w:ascii="Arial" w:hAnsi="Arial" w:cs="Arial"/>
                <w:lang w:eastAsia="en-GB"/>
              </w:rPr>
            </w:pPr>
            <w:r w:rsidRPr="00AD62C4">
              <w:rPr>
                <w:rFonts w:ascii="Arial" w:hAnsi="Arial" w:cs="Arial"/>
                <w:b/>
                <w:bCs/>
                <w:color w:val="000000"/>
                <w:lang w:eastAsia="en-GB"/>
              </w:rPr>
              <w:t>2018</w:t>
            </w:r>
          </w:p>
        </w:tc>
        <w:tc>
          <w:tcPr>
            <w:tcW w:w="1611" w:type="dxa"/>
            <w:tcBorders>
              <w:top w:val="single" w:sz="8" w:space="0" w:color="000000"/>
              <w:left w:val="nil"/>
              <w:bottom w:val="single" w:sz="8" w:space="0" w:color="000000"/>
              <w:right w:val="single" w:sz="8" w:space="0" w:color="000000"/>
            </w:tcBorders>
            <w:shd w:val="clear" w:color="auto" w:fill="C6D9F1"/>
            <w:tcMar>
              <w:top w:w="15" w:type="dxa"/>
              <w:left w:w="108" w:type="dxa"/>
              <w:bottom w:w="0" w:type="dxa"/>
              <w:right w:w="108" w:type="dxa"/>
            </w:tcMar>
            <w:hideMark/>
          </w:tcPr>
          <w:p w:rsidR="00E57119" w:rsidRPr="00AD62C4" w:rsidRDefault="00E57119">
            <w:pPr>
              <w:rPr>
                <w:rFonts w:ascii="Arial" w:hAnsi="Arial" w:cs="Arial"/>
                <w:lang w:eastAsia="en-GB"/>
              </w:rPr>
            </w:pPr>
            <w:r w:rsidRPr="00AD62C4">
              <w:rPr>
                <w:rFonts w:ascii="Arial" w:hAnsi="Arial" w:cs="Arial"/>
                <w:b/>
                <w:bCs/>
                <w:color w:val="000000"/>
                <w:lang w:eastAsia="en-GB"/>
              </w:rPr>
              <w:t>2019</w:t>
            </w:r>
          </w:p>
        </w:tc>
        <w:tc>
          <w:tcPr>
            <w:tcW w:w="1609" w:type="dxa"/>
            <w:tcBorders>
              <w:top w:val="single" w:sz="8" w:space="0" w:color="000000"/>
              <w:left w:val="nil"/>
              <w:bottom w:val="single" w:sz="8" w:space="0" w:color="000000"/>
              <w:right w:val="single" w:sz="8" w:space="0" w:color="000000"/>
            </w:tcBorders>
            <w:shd w:val="clear" w:color="auto" w:fill="C6D9F1"/>
            <w:tcMar>
              <w:top w:w="15" w:type="dxa"/>
              <w:left w:w="108" w:type="dxa"/>
              <w:bottom w:w="0" w:type="dxa"/>
              <w:right w:w="108" w:type="dxa"/>
            </w:tcMar>
            <w:hideMark/>
          </w:tcPr>
          <w:p w:rsidR="00E57119" w:rsidRPr="00AD62C4" w:rsidRDefault="00E57119">
            <w:pPr>
              <w:rPr>
                <w:rFonts w:ascii="Arial" w:hAnsi="Arial" w:cs="Arial"/>
                <w:lang w:eastAsia="en-GB"/>
              </w:rPr>
            </w:pPr>
            <w:r w:rsidRPr="00AD62C4">
              <w:rPr>
                <w:rFonts w:ascii="Arial" w:hAnsi="Arial" w:cs="Arial"/>
                <w:b/>
                <w:bCs/>
                <w:color w:val="000000"/>
                <w:lang w:eastAsia="en-GB"/>
              </w:rPr>
              <w:t>2021</w:t>
            </w:r>
          </w:p>
        </w:tc>
      </w:tr>
      <w:tr w:rsidR="00E57119" w:rsidRPr="00AD62C4" w:rsidTr="00E57119">
        <w:trPr>
          <w:trHeight w:val="148"/>
        </w:trPr>
        <w:tc>
          <w:tcPr>
            <w:tcW w:w="2009" w:type="dxa"/>
            <w:vMerge w:val="restart"/>
            <w:tcBorders>
              <w:top w:val="nil"/>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E57119" w:rsidRPr="00AD62C4" w:rsidRDefault="00E57119">
            <w:pPr>
              <w:rPr>
                <w:rFonts w:ascii="Arial" w:hAnsi="Arial" w:cs="Arial"/>
                <w:lang w:eastAsia="en-GB"/>
              </w:rPr>
            </w:pPr>
            <w:r w:rsidRPr="00AD62C4">
              <w:rPr>
                <w:rFonts w:ascii="Arial" w:hAnsi="Arial" w:cs="Arial"/>
                <w:b/>
                <w:bCs/>
                <w:color w:val="000000"/>
                <w:lang w:eastAsia="en-GB"/>
              </w:rPr>
              <w:t>Better health outcomes</w:t>
            </w:r>
          </w:p>
        </w:tc>
        <w:tc>
          <w:tcPr>
            <w:tcW w:w="1725" w:type="dxa"/>
            <w:tcBorders>
              <w:top w:val="nil"/>
              <w:left w:val="nil"/>
              <w:bottom w:val="single" w:sz="8" w:space="0" w:color="000000"/>
              <w:right w:val="single" w:sz="8" w:space="0" w:color="000000"/>
            </w:tcBorders>
            <w:shd w:val="clear" w:color="auto" w:fill="F2F2F2"/>
            <w:tcMar>
              <w:top w:w="15" w:type="dxa"/>
              <w:left w:w="108" w:type="dxa"/>
              <w:bottom w:w="0" w:type="dxa"/>
              <w:right w:w="108" w:type="dxa"/>
            </w:tcMar>
            <w:hideMark/>
          </w:tcPr>
          <w:p w:rsidR="00E57119" w:rsidRPr="00AD62C4" w:rsidRDefault="00E57119">
            <w:pPr>
              <w:jc w:val="center"/>
              <w:rPr>
                <w:rFonts w:ascii="Arial" w:hAnsi="Arial" w:cs="Arial"/>
                <w:lang w:eastAsia="en-GB"/>
              </w:rPr>
            </w:pPr>
            <w:r w:rsidRPr="00AD62C4">
              <w:rPr>
                <w:rFonts w:ascii="Arial" w:hAnsi="Arial" w:cs="Arial"/>
                <w:b/>
                <w:bCs/>
                <w:color w:val="000000"/>
                <w:lang w:eastAsia="en-GB"/>
              </w:rPr>
              <w:t>1.1</w:t>
            </w:r>
          </w:p>
        </w:tc>
        <w:tc>
          <w:tcPr>
            <w:tcW w:w="1729" w:type="dxa"/>
            <w:tcBorders>
              <w:top w:val="nil"/>
              <w:left w:val="nil"/>
              <w:bottom w:val="single" w:sz="8" w:space="0" w:color="000000"/>
              <w:right w:val="single" w:sz="8" w:space="0" w:color="000000"/>
            </w:tcBorders>
            <w:shd w:val="clear" w:color="auto" w:fill="F79646"/>
            <w:tcMar>
              <w:top w:w="15" w:type="dxa"/>
              <w:left w:w="108" w:type="dxa"/>
              <w:bottom w:w="0" w:type="dxa"/>
              <w:right w:w="108" w:type="dxa"/>
            </w:tcMar>
            <w:hideMark/>
          </w:tcPr>
          <w:p w:rsidR="00E57119" w:rsidRPr="00AD62C4" w:rsidRDefault="00E57119">
            <w:pPr>
              <w:jc w:val="center"/>
              <w:rPr>
                <w:rFonts w:ascii="Arial" w:hAnsi="Arial" w:cs="Arial"/>
                <w:lang w:eastAsia="en-GB"/>
              </w:rPr>
            </w:pPr>
            <w:r w:rsidRPr="00AD62C4">
              <w:rPr>
                <w:rFonts w:ascii="Arial" w:hAnsi="Arial" w:cs="Arial"/>
                <w:b/>
                <w:bCs/>
                <w:color w:val="000000"/>
                <w:lang w:eastAsia="en-GB"/>
              </w:rPr>
              <w:t xml:space="preserve">Developing </w:t>
            </w:r>
          </w:p>
        </w:tc>
        <w:tc>
          <w:tcPr>
            <w:tcW w:w="1611" w:type="dxa"/>
            <w:tcBorders>
              <w:top w:val="nil"/>
              <w:left w:val="nil"/>
              <w:bottom w:val="single" w:sz="8" w:space="0" w:color="000000"/>
              <w:right w:val="single" w:sz="8" w:space="0" w:color="000000"/>
            </w:tcBorders>
            <w:shd w:val="clear" w:color="auto" w:fill="92D050"/>
            <w:tcMar>
              <w:top w:w="15" w:type="dxa"/>
              <w:left w:w="108" w:type="dxa"/>
              <w:bottom w:w="0" w:type="dxa"/>
              <w:right w:w="108" w:type="dxa"/>
            </w:tcMar>
            <w:hideMark/>
          </w:tcPr>
          <w:p w:rsidR="00E57119" w:rsidRPr="00AD62C4" w:rsidRDefault="00E57119">
            <w:pPr>
              <w:jc w:val="center"/>
              <w:rPr>
                <w:rFonts w:ascii="Arial" w:hAnsi="Arial" w:cs="Arial"/>
                <w:lang w:eastAsia="en-GB"/>
              </w:rPr>
            </w:pPr>
            <w:r w:rsidRPr="00AD62C4">
              <w:rPr>
                <w:rFonts w:ascii="Arial" w:hAnsi="Arial" w:cs="Arial"/>
                <w:b/>
                <w:bCs/>
                <w:color w:val="000000"/>
                <w:lang w:eastAsia="en-GB"/>
              </w:rPr>
              <w:t>Achieving</w:t>
            </w:r>
          </w:p>
        </w:tc>
        <w:tc>
          <w:tcPr>
            <w:tcW w:w="1609" w:type="dxa"/>
            <w:tcBorders>
              <w:top w:val="nil"/>
              <w:left w:val="nil"/>
              <w:bottom w:val="single" w:sz="8" w:space="0" w:color="000000"/>
              <w:right w:val="single" w:sz="8" w:space="0" w:color="000000"/>
            </w:tcBorders>
            <w:shd w:val="clear" w:color="auto" w:fill="92D050"/>
            <w:tcMar>
              <w:top w:w="15" w:type="dxa"/>
              <w:left w:w="108" w:type="dxa"/>
              <w:bottom w:w="0" w:type="dxa"/>
              <w:right w:w="108" w:type="dxa"/>
            </w:tcMar>
            <w:hideMark/>
          </w:tcPr>
          <w:p w:rsidR="00E57119" w:rsidRPr="00AD62C4" w:rsidRDefault="00E57119">
            <w:pPr>
              <w:jc w:val="center"/>
              <w:rPr>
                <w:rFonts w:ascii="Arial" w:hAnsi="Arial" w:cs="Arial"/>
                <w:lang w:eastAsia="en-GB"/>
              </w:rPr>
            </w:pPr>
            <w:r w:rsidRPr="00AD62C4">
              <w:rPr>
                <w:rFonts w:ascii="Arial" w:hAnsi="Arial" w:cs="Arial"/>
                <w:b/>
                <w:bCs/>
                <w:color w:val="000000"/>
                <w:lang w:eastAsia="en-GB"/>
              </w:rPr>
              <w:t>Achieving</w:t>
            </w:r>
          </w:p>
        </w:tc>
      </w:tr>
      <w:tr w:rsidR="00E57119" w:rsidRPr="00AD62C4" w:rsidTr="00E57119">
        <w:trPr>
          <w:trHeight w:val="156"/>
        </w:trPr>
        <w:tc>
          <w:tcPr>
            <w:tcW w:w="0" w:type="auto"/>
            <w:vMerge/>
            <w:tcBorders>
              <w:top w:val="nil"/>
              <w:left w:val="single" w:sz="8" w:space="0" w:color="000000"/>
              <w:bottom w:val="single" w:sz="8" w:space="0" w:color="000000"/>
              <w:right w:val="single" w:sz="8" w:space="0" w:color="000000"/>
            </w:tcBorders>
            <w:vAlign w:val="center"/>
            <w:hideMark/>
          </w:tcPr>
          <w:p w:rsidR="00E57119" w:rsidRPr="00AD62C4" w:rsidRDefault="00E57119">
            <w:pPr>
              <w:rPr>
                <w:rFonts w:ascii="Arial" w:hAnsi="Arial" w:cs="Arial"/>
                <w:lang w:eastAsia="en-GB"/>
              </w:rPr>
            </w:pPr>
          </w:p>
        </w:tc>
        <w:tc>
          <w:tcPr>
            <w:tcW w:w="1725" w:type="dxa"/>
            <w:tcBorders>
              <w:top w:val="nil"/>
              <w:left w:val="nil"/>
              <w:bottom w:val="single" w:sz="8" w:space="0" w:color="000000"/>
              <w:right w:val="single" w:sz="8" w:space="0" w:color="000000"/>
            </w:tcBorders>
            <w:shd w:val="clear" w:color="auto" w:fill="F2F2F2"/>
            <w:tcMar>
              <w:top w:w="15" w:type="dxa"/>
              <w:left w:w="108" w:type="dxa"/>
              <w:bottom w:w="0" w:type="dxa"/>
              <w:right w:w="108" w:type="dxa"/>
            </w:tcMar>
            <w:hideMark/>
          </w:tcPr>
          <w:p w:rsidR="00E57119" w:rsidRPr="00AD62C4" w:rsidRDefault="00E57119">
            <w:pPr>
              <w:jc w:val="center"/>
              <w:rPr>
                <w:rFonts w:ascii="Arial" w:hAnsi="Arial" w:cs="Arial"/>
                <w:lang w:eastAsia="en-GB"/>
              </w:rPr>
            </w:pPr>
            <w:r w:rsidRPr="00AD62C4">
              <w:rPr>
                <w:rFonts w:ascii="Arial" w:hAnsi="Arial" w:cs="Arial"/>
                <w:b/>
                <w:bCs/>
                <w:color w:val="000000"/>
                <w:lang w:eastAsia="en-GB"/>
              </w:rPr>
              <w:t>1.2</w:t>
            </w:r>
          </w:p>
        </w:tc>
        <w:tc>
          <w:tcPr>
            <w:tcW w:w="1729" w:type="dxa"/>
            <w:tcBorders>
              <w:top w:val="nil"/>
              <w:left w:val="nil"/>
              <w:bottom w:val="single" w:sz="8" w:space="0" w:color="000000"/>
              <w:right w:val="single" w:sz="8" w:space="0" w:color="000000"/>
            </w:tcBorders>
            <w:shd w:val="clear" w:color="auto" w:fill="F79646"/>
            <w:tcMar>
              <w:top w:w="15" w:type="dxa"/>
              <w:left w:w="108" w:type="dxa"/>
              <w:bottom w:w="0" w:type="dxa"/>
              <w:right w:w="108" w:type="dxa"/>
            </w:tcMar>
            <w:hideMark/>
          </w:tcPr>
          <w:p w:rsidR="00E57119" w:rsidRPr="00AD62C4" w:rsidRDefault="00E57119">
            <w:pPr>
              <w:jc w:val="center"/>
              <w:rPr>
                <w:rFonts w:ascii="Arial" w:hAnsi="Arial" w:cs="Arial"/>
                <w:lang w:eastAsia="en-GB"/>
              </w:rPr>
            </w:pPr>
            <w:r w:rsidRPr="00AD62C4">
              <w:rPr>
                <w:rFonts w:ascii="Arial" w:hAnsi="Arial" w:cs="Arial"/>
                <w:b/>
                <w:bCs/>
                <w:color w:val="000000"/>
                <w:lang w:eastAsia="en-GB"/>
              </w:rPr>
              <w:t>Developing</w:t>
            </w:r>
          </w:p>
        </w:tc>
        <w:tc>
          <w:tcPr>
            <w:tcW w:w="1611" w:type="dxa"/>
            <w:tcBorders>
              <w:top w:val="nil"/>
              <w:left w:val="nil"/>
              <w:bottom w:val="single" w:sz="8" w:space="0" w:color="000000"/>
              <w:right w:val="single" w:sz="8" w:space="0" w:color="000000"/>
            </w:tcBorders>
            <w:shd w:val="clear" w:color="auto" w:fill="92D050"/>
            <w:tcMar>
              <w:top w:w="15" w:type="dxa"/>
              <w:left w:w="108" w:type="dxa"/>
              <w:bottom w:w="0" w:type="dxa"/>
              <w:right w:w="108" w:type="dxa"/>
            </w:tcMar>
            <w:hideMark/>
          </w:tcPr>
          <w:p w:rsidR="00E57119" w:rsidRPr="00AD62C4" w:rsidRDefault="00E57119">
            <w:pPr>
              <w:jc w:val="center"/>
              <w:rPr>
                <w:rFonts w:ascii="Arial" w:hAnsi="Arial" w:cs="Arial"/>
                <w:lang w:eastAsia="en-GB"/>
              </w:rPr>
            </w:pPr>
            <w:r w:rsidRPr="00AD62C4">
              <w:rPr>
                <w:rFonts w:ascii="Arial" w:hAnsi="Arial" w:cs="Arial"/>
                <w:b/>
                <w:bCs/>
                <w:color w:val="000000"/>
                <w:lang w:eastAsia="en-GB"/>
              </w:rPr>
              <w:t>Achieving</w:t>
            </w:r>
          </w:p>
        </w:tc>
        <w:tc>
          <w:tcPr>
            <w:tcW w:w="1609" w:type="dxa"/>
            <w:tcBorders>
              <w:top w:val="nil"/>
              <w:left w:val="nil"/>
              <w:bottom w:val="single" w:sz="8" w:space="0" w:color="000000"/>
              <w:right w:val="single" w:sz="8" w:space="0" w:color="000000"/>
            </w:tcBorders>
            <w:shd w:val="clear" w:color="auto" w:fill="92D050"/>
            <w:tcMar>
              <w:top w:w="15" w:type="dxa"/>
              <w:left w:w="108" w:type="dxa"/>
              <w:bottom w:w="0" w:type="dxa"/>
              <w:right w:w="108" w:type="dxa"/>
            </w:tcMar>
            <w:hideMark/>
          </w:tcPr>
          <w:p w:rsidR="00E57119" w:rsidRPr="00AD62C4" w:rsidRDefault="00E57119">
            <w:pPr>
              <w:jc w:val="center"/>
              <w:rPr>
                <w:rFonts w:ascii="Arial" w:hAnsi="Arial" w:cs="Arial"/>
                <w:lang w:eastAsia="en-GB"/>
              </w:rPr>
            </w:pPr>
            <w:r w:rsidRPr="00AD62C4">
              <w:rPr>
                <w:rFonts w:ascii="Arial" w:hAnsi="Arial" w:cs="Arial"/>
                <w:b/>
                <w:bCs/>
                <w:color w:val="000000"/>
                <w:lang w:eastAsia="en-GB"/>
              </w:rPr>
              <w:t>Achieving</w:t>
            </w:r>
          </w:p>
        </w:tc>
      </w:tr>
      <w:tr w:rsidR="00E57119" w:rsidRPr="00AD62C4" w:rsidTr="00E57119">
        <w:trPr>
          <w:trHeight w:val="156"/>
        </w:trPr>
        <w:tc>
          <w:tcPr>
            <w:tcW w:w="0" w:type="auto"/>
            <w:vMerge/>
            <w:tcBorders>
              <w:top w:val="nil"/>
              <w:left w:val="single" w:sz="8" w:space="0" w:color="000000"/>
              <w:bottom w:val="single" w:sz="8" w:space="0" w:color="000000"/>
              <w:right w:val="single" w:sz="8" w:space="0" w:color="000000"/>
            </w:tcBorders>
            <w:vAlign w:val="center"/>
            <w:hideMark/>
          </w:tcPr>
          <w:p w:rsidR="00E57119" w:rsidRPr="00AD62C4" w:rsidRDefault="00E57119">
            <w:pPr>
              <w:rPr>
                <w:rFonts w:ascii="Arial" w:hAnsi="Arial" w:cs="Arial"/>
                <w:lang w:eastAsia="en-GB"/>
              </w:rPr>
            </w:pPr>
          </w:p>
        </w:tc>
        <w:tc>
          <w:tcPr>
            <w:tcW w:w="1725" w:type="dxa"/>
            <w:tcBorders>
              <w:top w:val="nil"/>
              <w:left w:val="nil"/>
              <w:bottom w:val="single" w:sz="8" w:space="0" w:color="000000"/>
              <w:right w:val="single" w:sz="8" w:space="0" w:color="000000"/>
            </w:tcBorders>
            <w:shd w:val="clear" w:color="auto" w:fill="F2F2F2"/>
            <w:tcMar>
              <w:top w:w="15" w:type="dxa"/>
              <w:left w:w="108" w:type="dxa"/>
              <w:bottom w:w="0" w:type="dxa"/>
              <w:right w:w="108" w:type="dxa"/>
            </w:tcMar>
            <w:hideMark/>
          </w:tcPr>
          <w:p w:rsidR="00E57119" w:rsidRPr="00AD62C4" w:rsidRDefault="00E57119">
            <w:pPr>
              <w:jc w:val="center"/>
              <w:rPr>
                <w:rFonts w:ascii="Arial" w:hAnsi="Arial" w:cs="Arial"/>
                <w:lang w:eastAsia="en-GB"/>
              </w:rPr>
            </w:pPr>
            <w:r w:rsidRPr="00AD62C4">
              <w:rPr>
                <w:rFonts w:ascii="Arial" w:hAnsi="Arial" w:cs="Arial"/>
                <w:b/>
                <w:bCs/>
                <w:color w:val="000000"/>
                <w:lang w:eastAsia="en-GB"/>
              </w:rPr>
              <w:t>1.3</w:t>
            </w:r>
          </w:p>
        </w:tc>
        <w:tc>
          <w:tcPr>
            <w:tcW w:w="1729" w:type="dxa"/>
            <w:tcBorders>
              <w:top w:val="nil"/>
              <w:left w:val="nil"/>
              <w:bottom w:val="single" w:sz="8" w:space="0" w:color="000000"/>
              <w:right w:val="single" w:sz="8" w:space="0" w:color="000000"/>
            </w:tcBorders>
            <w:shd w:val="clear" w:color="auto" w:fill="F79646"/>
            <w:tcMar>
              <w:top w:w="15" w:type="dxa"/>
              <w:left w:w="108" w:type="dxa"/>
              <w:bottom w:w="0" w:type="dxa"/>
              <w:right w:w="108" w:type="dxa"/>
            </w:tcMar>
            <w:hideMark/>
          </w:tcPr>
          <w:p w:rsidR="00E57119" w:rsidRPr="00AD62C4" w:rsidRDefault="00E57119">
            <w:pPr>
              <w:jc w:val="center"/>
              <w:rPr>
                <w:rFonts w:ascii="Arial" w:hAnsi="Arial" w:cs="Arial"/>
                <w:lang w:eastAsia="en-GB"/>
              </w:rPr>
            </w:pPr>
            <w:r w:rsidRPr="00AD62C4">
              <w:rPr>
                <w:rFonts w:ascii="Arial" w:hAnsi="Arial" w:cs="Arial"/>
                <w:b/>
                <w:bCs/>
                <w:color w:val="000000"/>
                <w:lang w:eastAsia="en-GB"/>
              </w:rPr>
              <w:t>Developing</w:t>
            </w:r>
          </w:p>
        </w:tc>
        <w:tc>
          <w:tcPr>
            <w:tcW w:w="1611" w:type="dxa"/>
            <w:tcBorders>
              <w:top w:val="nil"/>
              <w:left w:val="nil"/>
              <w:bottom w:val="single" w:sz="8" w:space="0" w:color="000000"/>
              <w:right w:val="single" w:sz="8" w:space="0" w:color="000000"/>
            </w:tcBorders>
            <w:shd w:val="clear" w:color="auto" w:fill="92D050"/>
            <w:tcMar>
              <w:top w:w="15" w:type="dxa"/>
              <w:left w:w="108" w:type="dxa"/>
              <w:bottom w:w="0" w:type="dxa"/>
              <w:right w:w="108" w:type="dxa"/>
            </w:tcMar>
            <w:hideMark/>
          </w:tcPr>
          <w:p w:rsidR="00E57119" w:rsidRPr="00AD62C4" w:rsidRDefault="00E57119">
            <w:pPr>
              <w:jc w:val="center"/>
              <w:rPr>
                <w:rFonts w:ascii="Arial" w:hAnsi="Arial" w:cs="Arial"/>
                <w:lang w:eastAsia="en-GB"/>
              </w:rPr>
            </w:pPr>
            <w:r w:rsidRPr="00AD62C4">
              <w:rPr>
                <w:rFonts w:ascii="Arial" w:hAnsi="Arial" w:cs="Arial"/>
                <w:b/>
                <w:bCs/>
                <w:color w:val="000000"/>
                <w:lang w:eastAsia="en-GB"/>
              </w:rPr>
              <w:t>Achieving</w:t>
            </w:r>
          </w:p>
        </w:tc>
        <w:tc>
          <w:tcPr>
            <w:tcW w:w="1609" w:type="dxa"/>
            <w:tcBorders>
              <w:top w:val="nil"/>
              <w:left w:val="nil"/>
              <w:bottom w:val="single" w:sz="8" w:space="0" w:color="000000"/>
              <w:right w:val="single" w:sz="8" w:space="0" w:color="000000"/>
            </w:tcBorders>
            <w:shd w:val="clear" w:color="auto" w:fill="92D050"/>
            <w:tcMar>
              <w:top w:w="15" w:type="dxa"/>
              <w:left w:w="108" w:type="dxa"/>
              <w:bottom w:w="0" w:type="dxa"/>
              <w:right w:w="108" w:type="dxa"/>
            </w:tcMar>
            <w:hideMark/>
          </w:tcPr>
          <w:p w:rsidR="00E57119" w:rsidRPr="00AD62C4" w:rsidRDefault="00E57119">
            <w:pPr>
              <w:jc w:val="center"/>
              <w:rPr>
                <w:rFonts w:ascii="Arial" w:hAnsi="Arial" w:cs="Arial"/>
                <w:lang w:eastAsia="en-GB"/>
              </w:rPr>
            </w:pPr>
            <w:r w:rsidRPr="00AD62C4">
              <w:rPr>
                <w:rFonts w:ascii="Arial" w:hAnsi="Arial" w:cs="Arial"/>
                <w:b/>
                <w:bCs/>
                <w:color w:val="000000"/>
                <w:lang w:eastAsia="en-GB"/>
              </w:rPr>
              <w:t>Achieving</w:t>
            </w:r>
          </w:p>
        </w:tc>
      </w:tr>
      <w:tr w:rsidR="00E57119" w:rsidRPr="00AD62C4" w:rsidTr="00E57119">
        <w:trPr>
          <w:trHeight w:val="156"/>
        </w:trPr>
        <w:tc>
          <w:tcPr>
            <w:tcW w:w="0" w:type="auto"/>
            <w:vMerge/>
            <w:tcBorders>
              <w:top w:val="nil"/>
              <w:left w:val="single" w:sz="8" w:space="0" w:color="000000"/>
              <w:bottom w:val="single" w:sz="8" w:space="0" w:color="000000"/>
              <w:right w:val="single" w:sz="8" w:space="0" w:color="000000"/>
            </w:tcBorders>
            <w:vAlign w:val="center"/>
            <w:hideMark/>
          </w:tcPr>
          <w:p w:rsidR="00E57119" w:rsidRPr="00AD62C4" w:rsidRDefault="00E57119">
            <w:pPr>
              <w:rPr>
                <w:rFonts w:ascii="Arial" w:hAnsi="Arial" w:cs="Arial"/>
                <w:lang w:eastAsia="en-GB"/>
              </w:rPr>
            </w:pPr>
          </w:p>
        </w:tc>
        <w:tc>
          <w:tcPr>
            <w:tcW w:w="1725" w:type="dxa"/>
            <w:tcBorders>
              <w:top w:val="nil"/>
              <w:left w:val="nil"/>
              <w:bottom w:val="single" w:sz="8" w:space="0" w:color="000000"/>
              <w:right w:val="single" w:sz="8" w:space="0" w:color="000000"/>
            </w:tcBorders>
            <w:shd w:val="clear" w:color="auto" w:fill="F2F2F2"/>
            <w:tcMar>
              <w:top w:w="15" w:type="dxa"/>
              <w:left w:w="108" w:type="dxa"/>
              <w:bottom w:w="0" w:type="dxa"/>
              <w:right w:w="108" w:type="dxa"/>
            </w:tcMar>
            <w:hideMark/>
          </w:tcPr>
          <w:p w:rsidR="00E57119" w:rsidRPr="00AD62C4" w:rsidRDefault="00E57119">
            <w:pPr>
              <w:jc w:val="center"/>
              <w:rPr>
                <w:rFonts w:ascii="Arial" w:hAnsi="Arial" w:cs="Arial"/>
                <w:lang w:eastAsia="en-GB"/>
              </w:rPr>
            </w:pPr>
            <w:r w:rsidRPr="00AD62C4">
              <w:rPr>
                <w:rFonts w:ascii="Arial" w:hAnsi="Arial" w:cs="Arial"/>
                <w:b/>
                <w:bCs/>
                <w:color w:val="000000"/>
                <w:lang w:eastAsia="en-GB"/>
              </w:rPr>
              <w:t>1.4</w:t>
            </w:r>
          </w:p>
        </w:tc>
        <w:tc>
          <w:tcPr>
            <w:tcW w:w="1729" w:type="dxa"/>
            <w:tcBorders>
              <w:top w:val="nil"/>
              <w:left w:val="nil"/>
              <w:bottom w:val="single" w:sz="8" w:space="0" w:color="000000"/>
              <w:right w:val="single" w:sz="8" w:space="0" w:color="000000"/>
            </w:tcBorders>
            <w:shd w:val="clear" w:color="auto" w:fill="92D050"/>
            <w:tcMar>
              <w:top w:w="15" w:type="dxa"/>
              <w:left w:w="108" w:type="dxa"/>
              <w:bottom w:w="0" w:type="dxa"/>
              <w:right w:w="108" w:type="dxa"/>
            </w:tcMar>
            <w:hideMark/>
          </w:tcPr>
          <w:p w:rsidR="00E57119" w:rsidRPr="00AD62C4" w:rsidRDefault="00E57119">
            <w:pPr>
              <w:jc w:val="center"/>
              <w:rPr>
                <w:rFonts w:ascii="Arial" w:hAnsi="Arial" w:cs="Arial"/>
                <w:lang w:eastAsia="en-GB"/>
              </w:rPr>
            </w:pPr>
            <w:r w:rsidRPr="00AD62C4">
              <w:rPr>
                <w:rFonts w:ascii="Arial" w:hAnsi="Arial" w:cs="Arial"/>
                <w:b/>
                <w:bCs/>
                <w:color w:val="000000"/>
                <w:lang w:eastAsia="en-GB"/>
              </w:rPr>
              <w:t xml:space="preserve">Achieving </w:t>
            </w:r>
          </w:p>
        </w:tc>
        <w:tc>
          <w:tcPr>
            <w:tcW w:w="1611" w:type="dxa"/>
            <w:tcBorders>
              <w:top w:val="nil"/>
              <w:left w:val="nil"/>
              <w:bottom w:val="single" w:sz="8" w:space="0" w:color="000000"/>
              <w:right w:val="single" w:sz="8" w:space="0" w:color="000000"/>
            </w:tcBorders>
            <w:shd w:val="clear" w:color="auto" w:fill="92D050"/>
            <w:tcMar>
              <w:top w:w="15" w:type="dxa"/>
              <w:left w:w="108" w:type="dxa"/>
              <w:bottom w:w="0" w:type="dxa"/>
              <w:right w:w="108" w:type="dxa"/>
            </w:tcMar>
            <w:hideMark/>
          </w:tcPr>
          <w:p w:rsidR="00E57119" w:rsidRPr="00AD62C4" w:rsidRDefault="00E57119">
            <w:pPr>
              <w:jc w:val="center"/>
              <w:rPr>
                <w:rFonts w:ascii="Arial" w:hAnsi="Arial" w:cs="Arial"/>
                <w:lang w:eastAsia="en-GB"/>
              </w:rPr>
            </w:pPr>
            <w:r w:rsidRPr="00AD62C4">
              <w:rPr>
                <w:rFonts w:ascii="Arial" w:hAnsi="Arial" w:cs="Arial"/>
                <w:b/>
                <w:bCs/>
                <w:color w:val="000000"/>
                <w:lang w:eastAsia="en-GB"/>
              </w:rPr>
              <w:t>Achieving</w:t>
            </w:r>
          </w:p>
        </w:tc>
        <w:tc>
          <w:tcPr>
            <w:tcW w:w="1609" w:type="dxa"/>
            <w:tcBorders>
              <w:top w:val="nil"/>
              <w:left w:val="nil"/>
              <w:bottom w:val="single" w:sz="8" w:space="0" w:color="000000"/>
              <w:right w:val="single" w:sz="8" w:space="0" w:color="000000"/>
            </w:tcBorders>
            <w:shd w:val="clear" w:color="auto" w:fill="92D050"/>
            <w:tcMar>
              <w:top w:w="15" w:type="dxa"/>
              <w:left w:w="108" w:type="dxa"/>
              <w:bottom w:w="0" w:type="dxa"/>
              <w:right w:w="108" w:type="dxa"/>
            </w:tcMar>
            <w:hideMark/>
          </w:tcPr>
          <w:p w:rsidR="00E57119" w:rsidRPr="00AD62C4" w:rsidRDefault="00E57119">
            <w:pPr>
              <w:jc w:val="center"/>
              <w:rPr>
                <w:rFonts w:ascii="Arial" w:hAnsi="Arial" w:cs="Arial"/>
                <w:lang w:eastAsia="en-GB"/>
              </w:rPr>
            </w:pPr>
            <w:r w:rsidRPr="00AD62C4">
              <w:rPr>
                <w:rFonts w:ascii="Arial" w:hAnsi="Arial" w:cs="Arial"/>
                <w:b/>
                <w:bCs/>
                <w:color w:val="000000"/>
                <w:lang w:eastAsia="en-GB"/>
              </w:rPr>
              <w:t>Achieving</w:t>
            </w:r>
          </w:p>
        </w:tc>
      </w:tr>
      <w:tr w:rsidR="00E57119" w:rsidRPr="00AD62C4" w:rsidTr="00E57119">
        <w:trPr>
          <w:trHeight w:val="156"/>
        </w:trPr>
        <w:tc>
          <w:tcPr>
            <w:tcW w:w="0" w:type="auto"/>
            <w:vMerge/>
            <w:tcBorders>
              <w:top w:val="nil"/>
              <w:left w:val="single" w:sz="8" w:space="0" w:color="000000"/>
              <w:bottom w:val="single" w:sz="8" w:space="0" w:color="000000"/>
              <w:right w:val="single" w:sz="8" w:space="0" w:color="000000"/>
            </w:tcBorders>
            <w:vAlign w:val="center"/>
            <w:hideMark/>
          </w:tcPr>
          <w:p w:rsidR="00E57119" w:rsidRPr="00AD62C4" w:rsidRDefault="00E57119">
            <w:pPr>
              <w:rPr>
                <w:rFonts w:ascii="Arial" w:hAnsi="Arial" w:cs="Arial"/>
                <w:lang w:eastAsia="en-GB"/>
              </w:rPr>
            </w:pPr>
          </w:p>
        </w:tc>
        <w:tc>
          <w:tcPr>
            <w:tcW w:w="1725" w:type="dxa"/>
            <w:tcBorders>
              <w:top w:val="nil"/>
              <w:left w:val="nil"/>
              <w:bottom w:val="single" w:sz="8" w:space="0" w:color="000000"/>
              <w:right w:val="single" w:sz="8" w:space="0" w:color="000000"/>
            </w:tcBorders>
            <w:shd w:val="clear" w:color="auto" w:fill="F2F2F2"/>
            <w:tcMar>
              <w:top w:w="15" w:type="dxa"/>
              <w:left w:w="108" w:type="dxa"/>
              <w:bottom w:w="0" w:type="dxa"/>
              <w:right w:w="108" w:type="dxa"/>
            </w:tcMar>
            <w:hideMark/>
          </w:tcPr>
          <w:p w:rsidR="00E57119" w:rsidRPr="00AD62C4" w:rsidRDefault="00E57119">
            <w:pPr>
              <w:jc w:val="center"/>
              <w:rPr>
                <w:rFonts w:ascii="Arial" w:hAnsi="Arial" w:cs="Arial"/>
                <w:lang w:eastAsia="en-GB"/>
              </w:rPr>
            </w:pPr>
            <w:r w:rsidRPr="00AD62C4">
              <w:rPr>
                <w:rFonts w:ascii="Arial" w:hAnsi="Arial" w:cs="Arial"/>
                <w:b/>
                <w:bCs/>
                <w:color w:val="000000"/>
                <w:lang w:eastAsia="en-GB"/>
              </w:rPr>
              <w:t>1.5</w:t>
            </w:r>
          </w:p>
        </w:tc>
        <w:tc>
          <w:tcPr>
            <w:tcW w:w="1729" w:type="dxa"/>
            <w:tcBorders>
              <w:top w:val="nil"/>
              <w:left w:val="nil"/>
              <w:bottom w:val="single" w:sz="8" w:space="0" w:color="000000"/>
              <w:right w:val="single" w:sz="8" w:space="0" w:color="000000"/>
            </w:tcBorders>
            <w:shd w:val="clear" w:color="auto" w:fill="F79646"/>
            <w:tcMar>
              <w:top w:w="15" w:type="dxa"/>
              <w:left w:w="108" w:type="dxa"/>
              <w:bottom w:w="0" w:type="dxa"/>
              <w:right w:w="108" w:type="dxa"/>
            </w:tcMar>
            <w:hideMark/>
          </w:tcPr>
          <w:p w:rsidR="00E57119" w:rsidRPr="00AD62C4" w:rsidRDefault="00E57119">
            <w:pPr>
              <w:jc w:val="center"/>
              <w:rPr>
                <w:rFonts w:ascii="Arial" w:hAnsi="Arial" w:cs="Arial"/>
                <w:lang w:eastAsia="en-GB"/>
              </w:rPr>
            </w:pPr>
            <w:r w:rsidRPr="00AD62C4">
              <w:rPr>
                <w:rFonts w:ascii="Arial" w:hAnsi="Arial" w:cs="Arial"/>
                <w:b/>
                <w:bCs/>
                <w:color w:val="000000"/>
                <w:lang w:eastAsia="en-GB"/>
              </w:rPr>
              <w:t>Developing</w:t>
            </w:r>
          </w:p>
        </w:tc>
        <w:tc>
          <w:tcPr>
            <w:tcW w:w="1611" w:type="dxa"/>
            <w:tcBorders>
              <w:top w:val="nil"/>
              <w:left w:val="nil"/>
              <w:bottom w:val="single" w:sz="8" w:space="0" w:color="000000"/>
              <w:right w:val="single" w:sz="8" w:space="0" w:color="000000"/>
            </w:tcBorders>
            <w:shd w:val="clear" w:color="auto" w:fill="92D050"/>
            <w:tcMar>
              <w:top w:w="15" w:type="dxa"/>
              <w:left w:w="108" w:type="dxa"/>
              <w:bottom w:w="0" w:type="dxa"/>
              <w:right w:w="108" w:type="dxa"/>
            </w:tcMar>
            <w:hideMark/>
          </w:tcPr>
          <w:p w:rsidR="00E57119" w:rsidRPr="00AD62C4" w:rsidRDefault="00E57119">
            <w:pPr>
              <w:jc w:val="center"/>
              <w:rPr>
                <w:rFonts w:ascii="Arial" w:hAnsi="Arial" w:cs="Arial"/>
                <w:lang w:eastAsia="en-GB"/>
              </w:rPr>
            </w:pPr>
            <w:r w:rsidRPr="00AD62C4">
              <w:rPr>
                <w:rFonts w:ascii="Arial" w:hAnsi="Arial" w:cs="Arial"/>
                <w:b/>
                <w:bCs/>
                <w:color w:val="000000"/>
                <w:lang w:eastAsia="en-GB"/>
              </w:rPr>
              <w:t>Achieving</w:t>
            </w:r>
          </w:p>
        </w:tc>
        <w:tc>
          <w:tcPr>
            <w:tcW w:w="1609" w:type="dxa"/>
            <w:tcBorders>
              <w:top w:val="nil"/>
              <w:left w:val="nil"/>
              <w:bottom w:val="single" w:sz="8" w:space="0" w:color="000000"/>
              <w:right w:val="single" w:sz="8" w:space="0" w:color="000000"/>
            </w:tcBorders>
            <w:shd w:val="clear" w:color="auto" w:fill="92D050"/>
            <w:tcMar>
              <w:top w:w="15" w:type="dxa"/>
              <w:left w:w="108" w:type="dxa"/>
              <w:bottom w:w="0" w:type="dxa"/>
              <w:right w:w="108" w:type="dxa"/>
            </w:tcMar>
            <w:hideMark/>
          </w:tcPr>
          <w:p w:rsidR="00E57119" w:rsidRPr="00AD62C4" w:rsidRDefault="00E57119">
            <w:pPr>
              <w:jc w:val="center"/>
              <w:rPr>
                <w:rFonts w:ascii="Arial" w:hAnsi="Arial" w:cs="Arial"/>
                <w:lang w:eastAsia="en-GB"/>
              </w:rPr>
            </w:pPr>
            <w:r w:rsidRPr="00AD62C4">
              <w:rPr>
                <w:rFonts w:ascii="Arial" w:hAnsi="Arial" w:cs="Arial"/>
                <w:b/>
                <w:bCs/>
                <w:color w:val="000000"/>
                <w:lang w:eastAsia="en-GB"/>
              </w:rPr>
              <w:t>Achieving</w:t>
            </w:r>
          </w:p>
        </w:tc>
      </w:tr>
      <w:tr w:rsidR="00E57119" w:rsidRPr="00AD62C4" w:rsidTr="00E57119">
        <w:trPr>
          <w:trHeight w:val="148"/>
        </w:trPr>
        <w:tc>
          <w:tcPr>
            <w:tcW w:w="2009" w:type="dxa"/>
            <w:vMerge w:val="restart"/>
            <w:tcBorders>
              <w:top w:val="nil"/>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hideMark/>
          </w:tcPr>
          <w:p w:rsidR="00E57119" w:rsidRPr="00AD62C4" w:rsidRDefault="00E57119">
            <w:pPr>
              <w:rPr>
                <w:rFonts w:ascii="Arial" w:hAnsi="Arial" w:cs="Arial"/>
                <w:lang w:eastAsia="en-GB"/>
              </w:rPr>
            </w:pPr>
            <w:r w:rsidRPr="00AD62C4">
              <w:rPr>
                <w:rFonts w:ascii="Arial" w:hAnsi="Arial" w:cs="Arial"/>
                <w:b/>
                <w:bCs/>
                <w:color w:val="000000"/>
                <w:lang w:eastAsia="en-GB"/>
              </w:rPr>
              <w:t xml:space="preserve">Improved patient access and experience </w:t>
            </w:r>
          </w:p>
        </w:tc>
        <w:tc>
          <w:tcPr>
            <w:tcW w:w="1725" w:type="dxa"/>
            <w:tcBorders>
              <w:top w:val="nil"/>
              <w:left w:val="nil"/>
              <w:bottom w:val="single" w:sz="8" w:space="0" w:color="000000"/>
              <w:right w:val="single" w:sz="8" w:space="0" w:color="000000"/>
            </w:tcBorders>
            <w:shd w:val="clear" w:color="auto" w:fill="D9D9D9"/>
            <w:tcMar>
              <w:top w:w="15" w:type="dxa"/>
              <w:left w:w="108" w:type="dxa"/>
              <w:bottom w:w="0" w:type="dxa"/>
              <w:right w:w="108" w:type="dxa"/>
            </w:tcMar>
            <w:hideMark/>
          </w:tcPr>
          <w:p w:rsidR="00E57119" w:rsidRPr="00AD62C4" w:rsidRDefault="00E57119">
            <w:pPr>
              <w:jc w:val="center"/>
              <w:rPr>
                <w:rFonts w:ascii="Arial" w:hAnsi="Arial" w:cs="Arial"/>
                <w:lang w:eastAsia="en-GB"/>
              </w:rPr>
            </w:pPr>
            <w:r w:rsidRPr="00AD62C4">
              <w:rPr>
                <w:rFonts w:ascii="Arial" w:hAnsi="Arial" w:cs="Arial"/>
                <w:b/>
                <w:bCs/>
                <w:color w:val="000000"/>
                <w:lang w:eastAsia="en-GB"/>
              </w:rPr>
              <w:t>2.1</w:t>
            </w:r>
          </w:p>
        </w:tc>
        <w:tc>
          <w:tcPr>
            <w:tcW w:w="1729" w:type="dxa"/>
            <w:tcBorders>
              <w:top w:val="nil"/>
              <w:left w:val="nil"/>
              <w:bottom w:val="single" w:sz="8" w:space="0" w:color="000000"/>
              <w:right w:val="single" w:sz="8" w:space="0" w:color="000000"/>
            </w:tcBorders>
            <w:shd w:val="clear" w:color="auto" w:fill="92D050"/>
            <w:tcMar>
              <w:top w:w="15" w:type="dxa"/>
              <w:left w:w="108" w:type="dxa"/>
              <w:bottom w:w="0" w:type="dxa"/>
              <w:right w:w="108" w:type="dxa"/>
            </w:tcMar>
            <w:hideMark/>
          </w:tcPr>
          <w:p w:rsidR="00E57119" w:rsidRPr="00AD62C4" w:rsidRDefault="00E57119">
            <w:pPr>
              <w:jc w:val="center"/>
              <w:rPr>
                <w:rFonts w:ascii="Arial" w:hAnsi="Arial" w:cs="Arial"/>
                <w:lang w:eastAsia="en-GB"/>
              </w:rPr>
            </w:pPr>
            <w:r w:rsidRPr="00AD62C4">
              <w:rPr>
                <w:rFonts w:ascii="Arial" w:hAnsi="Arial" w:cs="Arial"/>
                <w:b/>
                <w:bCs/>
                <w:color w:val="000000"/>
                <w:lang w:eastAsia="en-GB"/>
              </w:rPr>
              <w:t>Achieving</w:t>
            </w:r>
          </w:p>
        </w:tc>
        <w:tc>
          <w:tcPr>
            <w:tcW w:w="1611" w:type="dxa"/>
            <w:tcBorders>
              <w:top w:val="nil"/>
              <w:left w:val="nil"/>
              <w:bottom w:val="single" w:sz="8" w:space="0" w:color="000000"/>
              <w:right w:val="single" w:sz="8" w:space="0" w:color="000000"/>
            </w:tcBorders>
            <w:shd w:val="clear" w:color="auto" w:fill="92D050"/>
            <w:tcMar>
              <w:top w:w="15" w:type="dxa"/>
              <w:left w:w="108" w:type="dxa"/>
              <w:bottom w:w="0" w:type="dxa"/>
              <w:right w:w="108" w:type="dxa"/>
            </w:tcMar>
            <w:hideMark/>
          </w:tcPr>
          <w:p w:rsidR="00E57119" w:rsidRPr="00AD62C4" w:rsidRDefault="00E57119">
            <w:pPr>
              <w:jc w:val="center"/>
              <w:rPr>
                <w:rFonts w:ascii="Arial" w:hAnsi="Arial" w:cs="Arial"/>
                <w:lang w:eastAsia="en-GB"/>
              </w:rPr>
            </w:pPr>
            <w:r w:rsidRPr="00AD62C4">
              <w:rPr>
                <w:rFonts w:ascii="Arial" w:hAnsi="Arial" w:cs="Arial"/>
                <w:b/>
                <w:bCs/>
                <w:color w:val="000000"/>
                <w:lang w:eastAsia="en-GB"/>
              </w:rPr>
              <w:t>Achieving</w:t>
            </w:r>
          </w:p>
        </w:tc>
        <w:tc>
          <w:tcPr>
            <w:tcW w:w="1609" w:type="dxa"/>
            <w:tcBorders>
              <w:top w:val="nil"/>
              <w:left w:val="nil"/>
              <w:bottom w:val="single" w:sz="8" w:space="0" w:color="000000"/>
              <w:right w:val="single" w:sz="8" w:space="0" w:color="000000"/>
            </w:tcBorders>
            <w:shd w:val="clear" w:color="auto" w:fill="92D050"/>
            <w:tcMar>
              <w:top w:w="15" w:type="dxa"/>
              <w:left w:w="108" w:type="dxa"/>
              <w:bottom w:w="0" w:type="dxa"/>
              <w:right w:w="108" w:type="dxa"/>
            </w:tcMar>
            <w:hideMark/>
          </w:tcPr>
          <w:p w:rsidR="00E57119" w:rsidRPr="00AD62C4" w:rsidRDefault="00E57119">
            <w:pPr>
              <w:jc w:val="center"/>
              <w:rPr>
                <w:rFonts w:ascii="Arial" w:hAnsi="Arial" w:cs="Arial"/>
                <w:lang w:eastAsia="en-GB"/>
              </w:rPr>
            </w:pPr>
            <w:r w:rsidRPr="00AD62C4">
              <w:rPr>
                <w:rFonts w:ascii="Arial" w:hAnsi="Arial" w:cs="Arial"/>
                <w:b/>
                <w:bCs/>
                <w:color w:val="000000"/>
                <w:lang w:eastAsia="en-GB"/>
              </w:rPr>
              <w:t>Achieving</w:t>
            </w:r>
          </w:p>
        </w:tc>
      </w:tr>
      <w:tr w:rsidR="00E57119" w:rsidRPr="00AD62C4" w:rsidTr="00E57119">
        <w:trPr>
          <w:trHeight w:val="156"/>
        </w:trPr>
        <w:tc>
          <w:tcPr>
            <w:tcW w:w="0" w:type="auto"/>
            <w:vMerge/>
            <w:tcBorders>
              <w:top w:val="nil"/>
              <w:left w:val="single" w:sz="8" w:space="0" w:color="000000"/>
              <w:bottom w:val="single" w:sz="8" w:space="0" w:color="000000"/>
              <w:right w:val="single" w:sz="8" w:space="0" w:color="000000"/>
            </w:tcBorders>
            <w:vAlign w:val="center"/>
            <w:hideMark/>
          </w:tcPr>
          <w:p w:rsidR="00E57119" w:rsidRPr="00AD62C4" w:rsidRDefault="00E57119">
            <w:pPr>
              <w:rPr>
                <w:rFonts w:ascii="Arial" w:hAnsi="Arial" w:cs="Arial"/>
                <w:lang w:eastAsia="en-GB"/>
              </w:rPr>
            </w:pPr>
          </w:p>
        </w:tc>
        <w:tc>
          <w:tcPr>
            <w:tcW w:w="1725" w:type="dxa"/>
            <w:tcBorders>
              <w:top w:val="nil"/>
              <w:left w:val="nil"/>
              <w:bottom w:val="single" w:sz="8" w:space="0" w:color="000000"/>
              <w:right w:val="single" w:sz="8" w:space="0" w:color="000000"/>
            </w:tcBorders>
            <w:shd w:val="clear" w:color="auto" w:fill="D9D9D9"/>
            <w:tcMar>
              <w:top w:w="15" w:type="dxa"/>
              <w:left w:w="108" w:type="dxa"/>
              <w:bottom w:w="0" w:type="dxa"/>
              <w:right w:w="108" w:type="dxa"/>
            </w:tcMar>
            <w:hideMark/>
          </w:tcPr>
          <w:p w:rsidR="00E57119" w:rsidRPr="00AD62C4" w:rsidRDefault="00E57119">
            <w:pPr>
              <w:jc w:val="center"/>
              <w:rPr>
                <w:rFonts w:ascii="Arial" w:hAnsi="Arial" w:cs="Arial"/>
                <w:lang w:eastAsia="en-GB"/>
              </w:rPr>
            </w:pPr>
            <w:r w:rsidRPr="00AD62C4">
              <w:rPr>
                <w:rFonts w:ascii="Arial" w:hAnsi="Arial" w:cs="Arial"/>
                <w:b/>
                <w:bCs/>
                <w:color w:val="000000"/>
                <w:lang w:eastAsia="en-GB"/>
              </w:rPr>
              <w:t>2.2</w:t>
            </w:r>
          </w:p>
        </w:tc>
        <w:tc>
          <w:tcPr>
            <w:tcW w:w="1729" w:type="dxa"/>
            <w:tcBorders>
              <w:top w:val="nil"/>
              <w:left w:val="nil"/>
              <w:bottom w:val="single" w:sz="8" w:space="0" w:color="000000"/>
              <w:right w:val="single" w:sz="8" w:space="0" w:color="000000"/>
            </w:tcBorders>
            <w:shd w:val="clear" w:color="auto" w:fill="F79646"/>
            <w:tcMar>
              <w:top w:w="15" w:type="dxa"/>
              <w:left w:w="108" w:type="dxa"/>
              <w:bottom w:w="0" w:type="dxa"/>
              <w:right w:w="108" w:type="dxa"/>
            </w:tcMar>
            <w:hideMark/>
          </w:tcPr>
          <w:p w:rsidR="00E57119" w:rsidRPr="00AD62C4" w:rsidRDefault="00E57119">
            <w:pPr>
              <w:jc w:val="center"/>
              <w:rPr>
                <w:rFonts w:ascii="Arial" w:hAnsi="Arial" w:cs="Arial"/>
                <w:lang w:eastAsia="en-GB"/>
              </w:rPr>
            </w:pPr>
            <w:r w:rsidRPr="00AD62C4">
              <w:rPr>
                <w:rFonts w:ascii="Arial" w:hAnsi="Arial" w:cs="Arial"/>
                <w:b/>
                <w:bCs/>
                <w:color w:val="000000"/>
                <w:lang w:eastAsia="en-GB"/>
              </w:rPr>
              <w:t>Developing</w:t>
            </w:r>
          </w:p>
        </w:tc>
        <w:tc>
          <w:tcPr>
            <w:tcW w:w="1611" w:type="dxa"/>
            <w:tcBorders>
              <w:top w:val="nil"/>
              <w:left w:val="nil"/>
              <w:bottom w:val="single" w:sz="8" w:space="0" w:color="000000"/>
              <w:right w:val="single" w:sz="8" w:space="0" w:color="000000"/>
            </w:tcBorders>
            <w:shd w:val="clear" w:color="auto" w:fill="92D050"/>
            <w:tcMar>
              <w:top w:w="15" w:type="dxa"/>
              <w:left w:w="108" w:type="dxa"/>
              <w:bottom w:w="0" w:type="dxa"/>
              <w:right w:w="108" w:type="dxa"/>
            </w:tcMar>
            <w:hideMark/>
          </w:tcPr>
          <w:p w:rsidR="00E57119" w:rsidRPr="00AD62C4" w:rsidRDefault="00E57119">
            <w:pPr>
              <w:jc w:val="center"/>
              <w:rPr>
                <w:rFonts w:ascii="Arial" w:hAnsi="Arial" w:cs="Arial"/>
                <w:lang w:eastAsia="en-GB"/>
              </w:rPr>
            </w:pPr>
            <w:r w:rsidRPr="00AD62C4">
              <w:rPr>
                <w:rFonts w:ascii="Arial" w:hAnsi="Arial" w:cs="Arial"/>
                <w:b/>
                <w:bCs/>
                <w:color w:val="000000"/>
                <w:lang w:eastAsia="en-GB"/>
              </w:rPr>
              <w:t>Achieving</w:t>
            </w:r>
          </w:p>
        </w:tc>
        <w:tc>
          <w:tcPr>
            <w:tcW w:w="1609" w:type="dxa"/>
            <w:tcBorders>
              <w:top w:val="nil"/>
              <w:left w:val="nil"/>
              <w:bottom w:val="single" w:sz="8" w:space="0" w:color="000000"/>
              <w:right w:val="single" w:sz="8" w:space="0" w:color="000000"/>
            </w:tcBorders>
            <w:shd w:val="clear" w:color="auto" w:fill="92D050"/>
            <w:tcMar>
              <w:top w:w="15" w:type="dxa"/>
              <w:left w:w="108" w:type="dxa"/>
              <w:bottom w:w="0" w:type="dxa"/>
              <w:right w:w="108" w:type="dxa"/>
            </w:tcMar>
            <w:hideMark/>
          </w:tcPr>
          <w:p w:rsidR="00E57119" w:rsidRPr="00AD62C4" w:rsidRDefault="00E57119">
            <w:pPr>
              <w:jc w:val="center"/>
              <w:rPr>
                <w:rFonts w:ascii="Arial" w:hAnsi="Arial" w:cs="Arial"/>
                <w:lang w:eastAsia="en-GB"/>
              </w:rPr>
            </w:pPr>
            <w:r w:rsidRPr="00AD62C4">
              <w:rPr>
                <w:rFonts w:ascii="Arial" w:hAnsi="Arial" w:cs="Arial"/>
                <w:b/>
                <w:bCs/>
                <w:color w:val="000000"/>
                <w:lang w:eastAsia="en-GB"/>
              </w:rPr>
              <w:t>Achieving</w:t>
            </w:r>
          </w:p>
        </w:tc>
      </w:tr>
      <w:tr w:rsidR="00E57119" w:rsidRPr="00AD62C4" w:rsidTr="00E57119">
        <w:trPr>
          <w:trHeight w:val="156"/>
        </w:trPr>
        <w:tc>
          <w:tcPr>
            <w:tcW w:w="0" w:type="auto"/>
            <w:vMerge/>
            <w:tcBorders>
              <w:top w:val="nil"/>
              <w:left w:val="single" w:sz="8" w:space="0" w:color="000000"/>
              <w:bottom w:val="single" w:sz="8" w:space="0" w:color="000000"/>
              <w:right w:val="single" w:sz="8" w:space="0" w:color="000000"/>
            </w:tcBorders>
            <w:vAlign w:val="center"/>
            <w:hideMark/>
          </w:tcPr>
          <w:p w:rsidR="00E57119" w:rsidRPr="00AD62C4" w:rsidRDefault="00E57119">
            <w:pPr>
              <w:rPr>
                <w:rFonts w:ascii="Arial" w:hAnsi="Arial" w:cs="Arial"/>
                <w:lang w:eastAsia="en-GB"/>
              </w:rPr>
            </w:pPr>
          </w:p>
        </w:tc>
        <w:tc>
          <w:tcPr>
            <w:tcW w:w="1725" w:type="dxa"/>
            <w:tcBorders>
              <w:top w:val="nil"/>
              <w:left w:val="nil"/>
              <w:bottom w:val="single" w:sz="8" w:space="0" w:color="000000"/>
              <w:right w:val="single" w:sz="8" w:space="0" w:color="000000"/>
            </w:tcBorders>
            <w:shd w:val="clear" w:color="auto" w:fill="D9D9D9"/>
            <w:tcMar>
              <w:top w:w="15" w:type="dxa"/>
              <w:left w:w="108" w:type="dxa"/>
              <w:bottom w:w="0" w:type="dxa"/>
              <w:right w:w="108" w:type="dxa"/>
            </w:tcMar>
            <w:hideMark/>
          </w:tcPr>
          <w:p w:rsidR="00E57119" w:rsidRPr="00AD62C4" w:rsidRDefault="00E57119">
            <w:pPr>
              <w:jc w:val="center"/>
              <w:rPr>
                <w:rFonts w:ascii="Arial" w:hAnsi="Arial" w:cs="Arial"/>
                <w:lang w:eastAsia="en-GB"/>
              </w:rPr>
            </w:pPr>
            <w:r w:rsidRPr="00AD62C4">
              <w:rPr>
                <w:rFonts w:ascii="Arial" w:hAnsi="Arial" w:cs="Arial"/>
                <w:b/>
                <w:bCs/>
                <w:color w:val="000000"/>
                <w:lang w:eastAsia="en-GB"/>
              </w:rPr>
              <w:t>2.3</w:t>
            </w:r>
          </w:p>
        </w:tc>
        <w:tc>
          <w:tcPr>
            <w:tcW w:w="1729" w:type="dxa"/>
            <w:tcBorders>
              <w:top w:val="nil"/>
              <w:left w:val="nil"/>
              <w:bottom w:val="single" w:sz="8" w:space="0" w:color="000000"/>
              <w:right w:val="single" w:sz="8" w:space="0" w:color="000000"/>
            </w:tcBorders>
            <w:shd w:val="clear" w:color="auto" w:fill="92D050"/>
            <w:tcMar>
              <w:top w:w="15" w:type="dxa"/>
              <w:left w:w="108" w:type="dxa"/>
              <w:bottom w:w="0" w:type="dxa"/>
              <w:right w:w="108" w:type="dxa"/>
            </w:tcMar>
            <w:hideMark/>
          </w:tcPr>
          <w:p w:rsidR="00E57119" w:rsidRPr="00AD62C4" w:rsidRDefault="00E57119">
            <w:pPr>
              <w:jc w:val="center"/>
              <w:rPr>
                <w:rFonts w:ascii="Arial" w:hAnsi="Arial" w:cs="Arial"/>
                <w:lang w:eastAsia="en-GB"/>
              </w:rPr>
            </w:pPr>
            <w:r w:rsidRPr="00AD62C4">
              <w:rPr>
                <w:rFonts w:ascii="Arial" w:hAnsi="Arial" w:cs="Arial"/>
                <w:b/>
                <w:bCs/>
                <w:color w:val="000000"/>
                <w:lang w:eastAsia="en-GB"/>
              </w:rPr>
              <w:t>Achieving</w:t>
            </w:r>
          </w:p>
        </w:tc>
        <w:tc>
          <w:tcPr>
            <w:tcW w:w="1611" w:type="dxa"/>
            <w:tcBorders>
              <w:top w:val="nil"/>
              <w:left w:val="nil"/>
              <w:bottom w:val="single" w:sz="8" w:space="0" w:color="000000"/>
              <w:right w:val="single" w:sz="8" w:space="0" w:color="000000"/>
            </w:tcBorders>
            <w:shd w:val="clear" w:color="auto" w:fill="92D050"/>
            <w:tcMar>
              <w:top w:w="15" w:type="dxa"/>
              <w:left w:w="108" w:type="dxa"/>
              <w:bottom w:w="0" w:type="dxa"/>
              <w:right w:w="108" w:type="dxa"/>
            </w:tcMar>
            <w:hideMark/>
          </w:tcPr>
          <w:p w:rsidR="00E57119" w:rsidRPr="00AD62C4" w:rsidRDefault="00E57119">
            <w:pPr>
              <w:jc w:val="center"/>
              <w:rPr>
                <w:rFonts w:ascii="Arial" w:hAnsi="Arial" w:cs="Arial"/>
                <w:lang w:eastAsia="en-GB"/>
              </w:rPr>
            </w:pPr>
            <w:r w:rsidRPr="00AD62C4">
              <w:rPr>
                <w:rFonts w:ascii="Arial" w:hAnsi="Arial" w:cs="Arial"/>
                <w:b/>
                <w:bCs/>
                <w:color w:val="000000"/>
                <w:lang w:eastAsia="en-GB"/>
              </w:rPr>
              <w:t>Achieving</w:t>
            </w:r>
          </w:p>
        </w:tc>
        <w:tc>
          <w:tcPr>
            <w:tcW w:w="1609" w:type="dxa"/>
            <w:tcBorders>
              <w:top w:val="nil"/>
              <w:left w:val="nil"/>
              <w:bottom w:val="single" w:sz="8" w:space="0" w:color="000000"/>
              <w:right w:val="single" w:sz="8" w:space="0" w:color="000000"/>
            </w:tcBorders>
            <w:shd w:val="clear" w:color="auto" w:fill="92D050"/>
            <w:tcMar>
              <w:top w:w="15" w:type="dxa"/>
              <w:left w:w="108" w:type="dxa"/>
              <w:bottom w:w="0" w:type="dxa"/>
              <w:right w:w="108" w:type="dxa"/>
            </w:tcMar>
            <w:hideMark/>
          </w:tcPr>
          <w:p w:rsidR="00E57119" w:rsidRPr="00AD62C4" w:rsidRDefault="00E57119">
            <w:pPr>
              <w:jc w:val="center"/>
              <w:rPr>
                <w:rFonts w:ascii="Arial" w:hAnsi="Arial" w:cs="Arial"/>
                <w:lang w:eastAsia="en-GB"/>
              </w:rPr>
            </w:pPr>
            <w:r w:rsidRPr="00AD62C4">
              <w:rPr>
                <w:rFonts w:ascii="Arial" w:hAnsi="Arial" w:cs="Arial"/>
                <w:b/>
                <w:bCs/>
                <w:color w:val="000000"/>
                <w:lang w:eastAsia="en-GB"/>
              </w:rPr>
              <w:t>Achieving</w:t>
            </w:r>
          </w:p>
        </w:tc>
      </w:tr>
      <w:tr w:rsidR="00E57119" w:rsidRPr="00AD62C4" w:rsidTr="00E57119">
        <w:trPr>
          <w:trHeight w:val="156"/>
        </w:trPr>
        <w:tc>
          <w:tcPr>
            <w:tcW w:w="0" w:type="auto"/>
            <w:vMerge/>
            <w:tcBorders>
              <w:top w:val="nil"/>
              <w:left w:val="single" w:sz="8" w:space="0" w:color="000000"/>
              <w:bottom w:val="single" w:sz="8" w:space="0" w:color="000000"/>
              <w:right w:val="single" w:sz="8" w:space="0" w:color="000000"/>
            </w:tcBorders>
            <w:vAlign w:val="center"/>
            <w:hideMark/>
          </w:tcPr>
          <w:p w:rsidR="00E57119" w:rsidRPr="00AD62C4" w:rsidRDefault="00E57119">
            <w:pPr>
              <w:rPr>
                <w:rFonts w:ascii="Arial" w:hAnsi="Arial" w:cs="Arial"/>
                <w:lang w:eastAsia="en-GB"/>
              </w:rPr>
            </w:pPr>
          </w:p>
        </w:tc>
        <w:tc>
          <w:tcPr>
            <w:tcW w:w="1725" w:type="dxa"/>
            <w:tcBorders>
              <w:top w:val="nil"/>
              <w:left w:val="nil"/>
              <w:bottom w:val="single" w:sz="8" w:space="0" w:color="000000"/>
              <w:right w:val="single" w:sz="8" w:space="0" w:color="000000"/>
            </w:tcBorders>
            <w:shd w:val="clear" w:color="auto" w:fill="D9D9D9"/>
            <w:tcMar>
              <w:top w:w="15" w:type="dxa"/>
              <w:left w:w="108" w:type="dxa"/>
              <w:bottom w:w="0" w:type="dxa"/>
              <w:right w:w="108" w:type="dxa"/>
            </w:tcMar>
            <w:hideMark/>
          </w:tcPr>
          <w:p w:rsidR="00E57119" w:rsidRPr="00AD62C4" w:rsidRDefault="00E57119">
            <w:pPr>
              <w:jc w:val="center"/>
              <w:rPr>
                <w:rFonts w:ascii="Arial" w:hAnsi="Arial" w:cs="Arial"/>
                <w:lang w:eastAsia="en-GB"/>
              </w:rPr>
            </w:pPr>
            <w:r w:rsidRPr="00AD62C4">
              <w:rPr>
                <w:rFonts w:ascii="Arial" w:hAnsi="Arial" w:cs="Arial"/>
                <w:b/>
                <w:bCs/>
                <w:color w:val="000000"/>
                <w:lang w:eastAsia="en-GB"/>
              </w:rPr>
              <w:t>2.4</w:t>
            </w:r>
          </w:p>
        </w:tc>
        <w:tc>
          <w:tcPr>
            <w:tcW w:w="1729" w:type="dxa"/>
            <w:tcBorders>
              <w:top w:val="nil"/>
              <w:left w:val="nil"/>
              <w:bottom w:val="single" w:sz="8" w:space="0" w:color="000000"/>
              <w:right w:val="single" w:sz="8" w:space="0" w:color="000000"/>
            </w:tcBorders>
            <w:shd w:val="clear" w:color="auto" w:fill="F79646"/>
            <w:tcMar>
              <w:top w:w="15" w:type="dxa"/>
              <w:left w:w="108" w:type="dxa"/>
              <w:bottom w:w="0" w:type="dxa"/>
              <w:right w:w="108" w:type="dxa"/>
            </w:tcMar>
            <w:hideMark/>
          </w:tcPr>
          <w:p w:rsidR="00E57119" w:rsidRPr="00AD62C4" w:rsidRDefault="00E57119">
            <w:pPr>
              <w:jc w:val="center"/>
              <w:rPr>
                <w:rFonts w:ascii="Arial" w:hAnsi="Arial" w:cs="Arial"/>
                <w:lang w:eastAsia="en-GB"/>
              </w:rPr>
            </w:pPr>
            <w:r w:rsidRPr="00AD62C4">
              <w:rPr>
                <w:rFonts w:ascii="Arial" w:hAnsi="Arial" w:cs="Arial"/>
                <w:b/>
                <w:bCs/>
                <w:color w:val="000000"/>
                <w:lang w:eastAsia="en-GB"/>
              </w:rPr>
              <w:t>Developing</w:t>
            </w:r>
          </w:p>
        </w:tc>
        <w:tc>
          <w:tcPr>
            <w:tcW w:w="1611" w:type="dxa"/>
            <w:tcBorders>
              <w:top w:val="nil"/>
              <w:left w:val="nil"/>
              <w:bottom w:val="single" w:sz="8" w:space="0" w:color="000000"/>
              <w:right w:val="single" w:sz="8" w:space="0" w:color="000000"/>
            </w:tcBorders>
            <w:shd w:val="clear" w:color="auto" w:fill="92D050"/>
            <w:tcMar>
              <w:top w:w="15" w:type="dxa"/>
              <w:left w:w="108" w:type="dxa"/>
              <w:bottom w:w="0" w:type="dxa"/>
              <w:right w:w="108" w:type="dxa"/>
            </w:tcMar>
            <w:hideMark/>
          </w:tcPr>
          <w:p w:rsidR="00E57119" w:rsidRPr="00AD62C4" w:rsidRDefault="00E57119">
            <w:pPr>
              <w:jc w:val="center"/>
              <w:rPr>
                <w:rFonts w:ascii="Arial" w:hAnsi="Arial" w:cs="Arial"/>
                <w:lang w:eastAsia="en-GB"/>
              </w:rPr>
            </w:pPr>
            <w:r w:rsidRPr="00AD62C4">
              <w:rPr>
                <w:rFonts w:ascii="Arial" w:hAnsi="Arial" w:cs="Arial"/>
                <w:b/>
                <w:bCs/>
                <w:color w:val="000000"/>
                <w:lang w:eastAsia="en-GB"/>
              </w:rPr>
              <w:t>Achieving</w:t>
            </w:r>
          </w:p>
        </w:tc>
        <w:tc>
          <w:tcPr>
            <w:tcW w:w="1609" w:type="dxa"/>
            <w:tcBorders>
              <w:top w:val="nil"/>
              <w:left w:val="nil"/>
              <w:bottom w:val="single" w:sz="8" w:space="0" w:color="000000"/>
              <w:right w:val="single" w:sz="8" w:space="0" w:color="000000"/>
            </w:tcBorders>
            <w:shd w:val="clear" w:color="auto" w:fill="92D050"/>
            <w:tcMar>
              <w:top w:w="15" w:type="dxa"/>
              <w:left w:w="108" w:type="dxa"/>
              <w:bottom w:w="0" w:type="dxa"/>
              <w:right w:w="108" w:type="dxa"/>
            </w:tcMar>
            <w:hideMark/>
          </w:tcPr>
          <w:p w:rsidR="00E57119" w:rsidRPr="00AD62C4" w:rsidRDefault="00E57119">
            <w:pPr>
              <w:jc w:val="center"/>
              <w:rPr>
                <w:rFonts w:ascii="Arial" w:hAnsi="Arial" w:cs="Arial"/>
                <w:lang w:eastAsia="en-GB"/>
              </w:rPr>
            </w:pPr>
            <w:r w:rsidRPr="00AD62C4">
              <w:rPr>
                <w:rFonts w:ascii="Arial" w:hAnsi="Arial" w:cs="Arial"/>
                <w:b/>
                <w:bCs/>
                <w:color w:val="000000"/>
                <w:lang w:eastAsia="en-GB"/>
              </w:rPr>
              <w:t>Achieving</w:t>
            </w:r>
          </w:p>
        </w:tc>
      </w:tr>
      <w:tr w:rsidR="00E57119" w:rsidRPr="00AD62C4" w:rsidTr="00E57119">
        <w:trPr>
          <w:trHeight w:val="148"/>
        </w:trPr>
        <w:tc>
          <w:tcPr>
            <w:tcW w:w="2009" w:type="dxa"/>
            <w:vMerge w:val="restart"/>
            <w:tcBorders>
              <w:top w:val="nil"/>
              <w:left w:val="single" w:sz="8" w:space="0" w:color="000000"/>
              <w:bottom w:val="single" w:sz="8" w:space="0" w:color="000000"/>
              <w:right w:val="single" w:sz="8" w:space="0" w:color="000000"/>
            </w:tcBorders>
            <w:shd w:val="clear" w:color="auto" w:fill="BFBFBF"/>
            <w:tcMar>
              <w:top w:w="15" w:type="dxa"/>
              <w:left w:w="108" w:type="dxa"/>
              <w:bottom w:w="0" w:type="dxa"/>
              <w:right w:w="108" w:type="dxa"/>
            </w:tcMar>
            <w:hideMark/>
          </w:tcPr>
          <w:p w:rsidR="00E57119" w:rsidRPr="00AD62C4" w:rsidRDefault="00E57119">
            <w:pPr>
              <w:rPr>
                <w:rFonts w:ascii="Arial" w:hAnsi="Arial" w:cs="Arial"/>
                <w:lang w:eastAsia="en-GB"/>
              </w:rPr>
            </w:pPr>
            <w:r w:rsidRPr="00AD62C4">
              <w:rPr>
                <w:rFonts w:ascii="Arial" w:hAnsi="Arial" w:cs="Arial"/>
                <w:b/>
                <w:bCs/>
                <w:color w:val="000000"/>
                <w:lang w:eastAsia="en-GB"/>
              </w:rPr>
              <w:t xml:space="preserve">A representative and supported workforce </w:t>
            </w:r>
          </w:p>
        </w:tc>
        <w:tc>
          <w:tcPr>
            <w:tcW w:w="1725" w:type="dxa"/>
            <w:tcBorders>
              <w:top w:val="nil"/>
              <w:left w:val="nil"/>
              <w:bottom w:val="single" w:sz="8" w:space="0" w:color="000000"/>
              <w:right w:val="single" w:sz="8" w:space="0" w:color="000000"/>
            </w:tcBorders>
            <w:shd w:val="clear" w:color="auto" w:fill="BFBFBF"/>
            <w:tcMar>
              <w:top w:w="15" w:type="dxa"/>
              <w:left w:w="108" w:type="dxa"/>
              <w:bottom w:w="0" w:type="dxa"/>
              <w:right w:w="108" w:type="dxa"/>
            </w:tcMar>
            <w:hideMark/>
          </w:tcPr>
          <w:p w:rsidR="00E57119" w:rsidRPr="00AD62C4" w:rsidRDefault="00E57119">
            <w:pPr>
              <w:jc w:val="center"/>
              <w:rPr>
                <w:rFonts w:ascii="Arial" w:hAnsi="Arial" w:cs="Arial"/>
                <w:lang w:eastAsia="en-GB"/>
              </w:rPr>
            </w:pPr>
            <w:r w:rsidRPr="00AD62C4">
              <w:rPr>
                <w:rFonts w:ascii="Arial" w:hAnsi="Arial" w:cs="Arial"/>
                <w:b/>
                <w:bCs/>
                <w:color w:val="000000"/>
                <w:lang w:eastAsia="en-GB"/>
              </w:rPr>
              <w:t>3.1</w:t>
            </w:r>
          </w:p>
        </w:tc>
        <w:tc>
          <w:tcPr>
            <w:tcW w:w="1729" w:type="dxa"/>
            <w:tcBorders>
              <w:top w:val="nil"/>
              <w:left w:val="nil"/>
              <w:bottom w:val="single" w:sz="8" w:space="0" w:color="000000"/>
              <w:right w:val="single" w:sz="8" w:space="0" w:color="000000"/>
            </w:tcBorders>
            <w:shd w:val="clear" w:color="auto" w:fill="92D050"/>
            <w:tcMar>
              <w:top w:w="15" w:type="dxa"/>
              <w:left w:w="108" w:type="dxa"/>
              <w:bottom w:w="0" w:type="dxa"/>
              <w:right w:w="108" w:type="dxa"/>
            </w:tcMar>
            <w:hideMark/>
          </w:tcPr>
          <w:p w:rsidR="00E57119" w:rsidRPr="00AD62C4" w:rsidRDefault="00E57119">
            <w:pPr>
              <w:jc w:val="center"/>
              <w:rPr>
                <w:rFonts w:ascii="Arial" w:hAnsi="Arial" w:cs="Arial"/>
                <w:lang w:eastAsia="en-GB"/>
              </w:rPr>
            </w:pPr>
            <w:r w:rsidRPr="00AD62C4">
              <w:rPr>
                <w:rFonts w:ascii="Arial" w:hAnsi="Arial" w:cs="Arial"/>
                <w:b/>
                <w:bCs/>
                <w:color w:val="000000"/>
                <w:lang w:eastAsia="en-GB"/>
              </w:rPr>
              <w:t>Achieving</w:t>
            </w:r>
          </w:p>
        </w:tc>
        <w:tc>
          <w:tcPr>
            <w:tcW w:w="1611" w:type="dxa"/>
            <w:tcBorders>
              <w:top w:val="nil"/>
              <w:left w:val="nil"/>
              <w:bottom w:val="single" w:sz="8" w:space="0" w:color="000000"/>
              <w:right w:val="single" w:sz="8" w:space="0" w:color="000000"/>
            </w:tcBorders>
            <w:shd w:val="clear" w:color="auto" w:fill="92D050"/>
            <w:tcMar>
              <w:top w:w="15" w:type="dxa"/>
              <w:left w:w="108" w:type="dxa"/>
              <w:bottom w:w="0" w:type="dxa"/>
              <w:right w:w="108" w:type="dxa"/>
            </w:tcMar>
            <w:hideMark/>
          </w:tcPr>
          <w:p w:rsidR="00E57119" w:rsidRPr="00AD62C4" w:rsidRDefault="00E57119">
            <w:pPr>
              <w:jc w:val="center"/>
              <w:rPr>
                <w:rFonts w:ascii="Arial" w:hAnsi="Arial" w:cs="Arial"/>
                <w:lang w:eastAsia="en-GB"/>
              </w:rPr>
            </w:pPr>
            <w:r w:rsidRPr="00AD62C4">
              <w:rPr>
                <w:rFonts w:ascii="Arial" w:hAnsi="Arial" w:cs="Arial"/>
                <w:b/>
                <w:bCs/>
                <w:color w:val="000000"/>
                <w:lang w:eastAsia="en-GB"/>
              </w:rPr>
              <w:t>Achieving</w:t>
            </w:r>
          </w:p>
        </w:tc>
        <w:tc>
          <w:tcPr>
            <w:tcW w:w="1609" w:type="dxa"/>
            <w:tcBorders>
              <w:top w:val="nil"/>
              <w:left w:val="nil"/>
              <w:bottom w:val="single" w:sz="8" w:space="0" w:color="000000"/>
              <w:right w:val="single" w:sz="8" w:space="0" w:color="000000"/>
            </w:tcBorders>
            <w:shd w:val="clear" w:color="auto" w:fill="92D050"/>
            <w:tcMar>
              <w:top w:w="15" w:type="dxa"/>
              <w:left w:w="108" w:type="dxa"/>
              <w:bottom w:w="0" w:type="dxa"/>
              <w:right w:w="108" w:type="dxa"/>
            </w:tcMar>
            <w:hideMark/>
          </w:tcPr>
          <w:p w:rsidR="00E57119" w:rsidRPr="00AD62C4" w:rsidRDefault="00E57119">
            <w:pPr>
              <w:jc w:val="center"/>
              <w:rPr>
                <w:rFonts w:ascii="Arial" w:hAnsi="Arial" w:cs="Arial"/>
                <w:lang w:eastAsia="en-GB"/>
              </w:rPr>
            </w:pPr>
            <w:r w:rsidRPr="00AD62C4">
              <w:rPr>
                <w:rFonts w:ascii="Arial" w:hAnsi="Arial" w:cs="Arial"/>
                <w:b/>
                <w:bCs/>
                <w:color w:val="000000"/>
                <w:lang w:eastAsia="en-GB"/>
              </w:rPr>
              <w:t>Achieving</w:t>
            </w:r>
          </w:p>
        </w:tc>
      </w:tr>
      <w:tr w:rsidR="00E57119" w:rsidRPr="00AD62C4" w:rsidTr="00E57119">
        <w:trPr>
          <w:trHeight w:val="152"/>
        </w:trPr>
        <w:tc>
          <w:tcPr>
            <w:tcW w:w="0" w:type="auto"/>
            <w:vMerge/>
            <w:tcBorders>
              <w:top w:val="nil"/>
              <w:left w:val="single" w:sz="8" w:space="0" w:color="000000"/>
              <w:bottom w:val="single" w:sz="8" w:space="0" w:color="000000"/>
              <w:right w:val="single" w:sz="8" w:space="0" w:color="000000"/>
            </w:tcBorders>
            <w:vAlign w:val="center"/>
            <w:hideMark/>
          </w:tcPr>
          <w:p w:rsidR="00E57119" w:rsidRPr="00AD62C4" w:rsidRDefault="00E57119">
            <w:pPr>
              <w:rPr>
                <w:rFonts w:ascii="Arial" w:hAnsi="Arial" w:cs="Arial"/>
                <w:lang w:eastAsia="en-GB"/>
              </w:rPr>
            </w:pPr>
          </w:p>
        </w:tc>
        <w:tc>
          <w:tcPr>
            <w:tcW w:w="1725" w:type="dxa"/>
            <w:tcBorders>
              <w:top w:val="nil"/>
              <w:left w:val="nil"/>
              <w:bottom w:val="single" w:sz="8" w:space="0" w:color="000000"/>
              <w:right w:val="single" w:sz="8" w:space="0" w:color="000000"/>
            </w:tcBorders>
            <w:shd w:val="clear" w:color="auto" w:fill="BFBFBF"/>
            <w:tcMar>
              <w:top w:w="15" w:type="dxa"/>
              <w:left w:w="108" w:type="dxa"/>
              <w:bottom w:w="0" w:type="dxa"/>
              <w:right w:w="108" w:type="dxa"/>
            </w:tcMar>
            <w:hideMark/>
          </w:tcPr>
          <w:p w:rsidR="00E57119" w:rsidRPr="00AD62C4" w:rsidRDefault="00E57119">
            <w:pPr>
              <w:jc w:val="center"/>
              <w:rPr>
                <w:rFonts w:ascii="Arial" w:hAnsi="Arial" w:cs="Arial"/>
                <w:lang w:eastAsia="en-GB"/>
              </w:rPr>
            </w:pPr>
            <w:r w:rsidRPr="00AD62C4">
              <w:rPr>
                <w:rFonts w:ascii="Arial" w:hAnsi="Arial" w:cs="Arial"/>
                <w:b/>
                <w:bCs/>
                <w:color w:val="000000"/>
                <w:lang w:eastAsia="en-GB"/>
              </w:rPr>
              <w:t>3.2</w:t>
            </w:r>
          </w:p>
        </w:tc>
        <w:tc>
          <w:tcPr>
            <w:tcW w:w="1729" w:type="dxa"/>
            <w:tcBorders>
              <w:top w:val="nil"/>
              <w:left w:val="nil"/>
              <w:bottom w:val="single" w:sz="8" w:space="0" w:color="000000"/>
              <w:right w:val="single" w:sz="8" w:space="0" w:color="000000"/>
            </w:tcBorders>
            <w:shd w:val="clear" w:color="auto" w:fill="CC3399"/>
            <w:tcMar>
              <w:top w:w="15" w:type="dxa"/>
              <w:left w:w="108" w:type="dxa"/>
              <w:bottom w:w="0" w:type="dxa"/>
              <w:right w:w="108" w:type="dxa"/>
            </w:tcMar>
            <w:hideMark/>
          </w:tcPr>
          <w:p w:rsidR="00E57119" w:rsidRPr="00AD62C4" w:rsidRDefault="00E57119">
            <w:pPr>
              <w:jc w:val="center"/>
              <w:rPr>
                <w:rFonts w:ascii="Arial" w:hAnsi="Arial" w:cs="Arial"/>
                <w:lang w:eastAsia="en-GB"/>
              </w:rPr>
            </w:pPr>
            <w:r w:rsidRPr="00AD62C4">
              <w:rPr>
                <w:rFonts w:ascii="Arial" w:hAnsi="Arial" w:cs="Arial"/>
                <w:b/>
                <w:bCs/>
                <w:color w:val="000000"/>
                <w:lang w:eastAsia="en-GB"/>
              </w:rPr>
              <w:t xml:space="preserve">Excelling </w:t>
            </w:r>
          </w:p>
        </w:tc>
        <w:tc>
          <w:tcPr>
            <w:tcW w:w="1611" w:type="dxa"/>
            <w:tcBorders>
              <w:top w:val="nil"/>
              <w:left w:val="nil"/>
              <w:bottom w:val="single" w:sz="8" w:space="0" w:color="000000"/>
              <w:right w:val="single" w:sz="8" w:space="0" w:color="000000"/>
            </w:tcBorders>
            <w:shd w:val="clear" w:color="auto" w:fill="CC3399"/>
            <w:tcMar>
              <w:top w:w="15" w:type="dxa"/>
              <w:left w:w="108" w:type="dxa"/>
              <w:bottom w:w="0" w:type="dxa"/>
              <w:right w:w="108" w:type="dxa"/>
            </w:tcMar>
            <w:hideMark/>
          </w:tcPr>
          <w:p w:rsidR="00E57119" w:rsidRPr="00AD62C4" w:rsidRDefault="00E57119">
            <w:pPr>
              <w:jc w:val="center"/>
              <w:rPr>
                <w:rFonts w:ascii="Arial" w:hAnsi="Arial" w:cs="Arial"/>
                <w:lang w:eastAsia="en-GB"/>
              </w:rPr>
            </w:pPr>
            <w:r w:rsidRPr="00AD62C4">
              <w:rPr>
                <w:rFonts w:ascii="Arial" w:hAnsi="Arial" w:cs="Arial"/>
                <w:b/>
                <w:bCs/>
                <w:color w:val="000000"/>
                <w:lang w:eastAsia="en-GB"/>
              </w:rPr>
              <w:t xml:space="preserve">Excelling </w:t>
            </w:r>
          </w:p>
        </w:tc>
        <w:tc>
          <w:tcPr>
            <w:tcW w:w="1609" w:type="dxa"/>
            <w:tcBorders>
              <w:top w:val="nil"/>
              <w:left w:val="nil"/>
              <w:bottom w:val="single" w:sz="8" w:space="0" w:color="000000"/>
              <w:right w:val="single" w:sz="8" w:space="0" w:color="000000"/>
            </w:tcBorders>
            <w:shd w:val="clear" w:color="auto" w:fill="CC3399"/>
            <w:tcMar>
              <w:top w:w="15" w:type="dxa"/>
              <w:left w:w="108" w:type="dxa"/>
              <w:bottom w:w="0" w:type="dxa"/>
              <w:right w:w="108" w:type="dxa"/>
            </w:tcMar>
            <w:hideMark/>
          </w:tcPr>
          <w:p w:rsidR="00E57119" w:rsidRPr="00AD62C4" w:rsidRDefault="00E57119" w:rsidP="00E57119">
            <w:pPr>
              <w:jc w:val="center"/>
              <w:rPr>
                <w:rFonts w:ascii="Arial" w:eastAsia="Times New Roman" w:hAnsi="Arial" w:cs="Arial"/>
                <w:b/>
                <w:lang w:eastAsia="en-GB"/>
              </w:rPr>
            </w:pPr>
            <w:r w:rsidRPr="00AD62C4">
              <w:rPr>
                <w:rFonts w:ascii="Arial" w:eastAsia="Times New Roman" w:hAnsi="Arial" w:cs="Arial"/>
                <w:b/>
                <w:lang w:eastAsia="en-GB"/>
              </w:rPr>
              <w:t>Excelling</w:t>
            </w:r>
          </w:p>
        </w:tc>
      </w:tr>
      <w:tr w:rsidR="00E57119" w:rsidRPr="00AD62C4" w:rsidTr="00E57119">
        <w:trPr>
          <w:trHeight w:val="159"/>
        </w:trPr>
        <w:tc>
          <w:tcPr>
            <w:tcW w:w="0" w:type="auto"/>
            <w:vMerge/>
            <w:tcBorders>
              <w:top w:val="nil"/>
              <w:left w:val="single" w:sz="8" w:space="0" w:color="000000"/>
              <w:bottom w:val="single" w:sz="8" w:space="0" w:color="000000"/>
              <w:right w:val="single" w:sz="8" w:space="0" w:color="000000"/>
            </w:tcBorders>
            <w:vAlign w:val="center"/>
            <w:hideMark/>
          </w:tcPr>
          <w:p w:rsidR="00E57119" w:rsidRPr="00AD62C4" w:rsidRDefault="00E57119">
            <w:pPr>
              <w:rPr>
                <w:rFonts w:ascii="Arial" w:hAnsi="Arial" w:cs="Arial"/>
                <w:lang w:eastAsia="en-GB"/>
              </w:rPr>
            </w:pPr>
          </w:p>
        </w:tc>
        <w:tc>
          <w:tcPr>
            <w:tcW w:w="1725" w:type="dxa"/>
            <w:tcBorders>
              <w:top w:val="nil"/>
              <w:left w:val="nil"/>
              <w:bottom w:val="single" w:sz="8" w:space="0" w:color="000000"/>
              <w:right w:val="single" w:sz="8" w:space="0" w:color="000000"/>
            </w:tcBorders>
            <w:shd w:val="clear" w:color="auto" w:fill="BFBFBF"/>
            <w:tcMar>
              <w:top w:w="15" w:type="dxa"/>
              <w:left w:w="108" w:type="dxa"/>
              <w:bottom w:w="0" w:type="dxa"/>
              <w:right w:w="108" w:type="dxa"/>
            </w:tcMar>
            <w:hideMark/>
          </w:tcPr>
          <w:p w:rsidR="00E57119" w:rsidRPr="00AD62C4" w:rsidRDefault="00E57119">
            <w:pPr>
              <w:jc w:val="center"/>
              <w:rPr>
                <w:rFonts w:ascii="Arial" w:hAnsi="Arial" w:cs="Arial"/>
                <w:lang w:eastAsia="en-GB"/>
              </w:rPr>
            </w:pPr>
            <w:r w:rsidRPr="00AD62C4">
              <w:rPr>
                <w:rFonts w:ascii="Arial" w:hAnsi="Arial" w:cs="Arial"/>
                <w:b/>
                <w:bCs/>
                <w:color w:val="000000"/>
                <w:lang w:eastAsia="en-GB"/>
              </w:rPr>
              <w:t>3.3</w:t>
            </w:r>
          </w:p>
        </w:tc>
        <w:tc>
          <w:tcPr>
            <w:tcW w:w="1729" w:type="dxa"/>
            <w:tcBorders>
              <w:top w:val="nil"/>
              <w:left w:val="nil"/>
              <w:bottom w:val="single" w:sz="8" w:space="0" w:color="000000"/>
              <w:right w:val="single" w:sz="8" w:space="0" w:color="000000"/>
            </w:tcBorders>
            <w:shd w:val="clear" w:color="auto" w:fill="F79646"/>
            <w:tcMar>
              <w:top w:w="15" w:type="dxa"/>
              <w:left w:w="108" w:type="dxa"/>
              <w:bottom w:w="0" w:type="dxa"/>
              <w:right w:w="108" w:type="dxa"/>
            </w:tcMar>
            <w:hideMark/>
          </w:tcPr>
          <w:p w:rsidR="00E57119" w:rsidRPr="00AD62C4" w:rsidRDefault="00E57119">
            <w:pPr>
              <w:jc w:val="center"/>
              <w:rPr>
                <w:rFonts w:ascii="Arial" w:hAnsi="Arial" w:cs="Arial"/>
                <w:lang w:eastAsia="en-GB"/>
              </w:rPr>
            </w:pPr>
            <w:r w:rsidRPr="00AD62C4">
              <w:rPr>
                <w:rFonts w:ascii="Arial" w:hAnsi="Arial" w:cs="Arial"/>
                <w:b/>
                <w:bCs/>
                <w:color w:val="000000"/>
                <w:lang w:eastAsia="en-GB"/>
              </w:rPr>
              <w:t xml:space="preserve">Developing </w:t>
            </w:r>
          </w:p>
        </w:tc>
        <w:tc>
          <w:tcPr>
            <w:tcW w:w="1611" w:type="dxa"/>
            <w:tcBorders>
              <w:top w:val="nil"/>
              <w:left w:val="nil"/>
              <w:bottom w:val="single" w:sz="8" w:space="0" w:color="000000"/>
              <w:right w:val="single" w:sz="8" w:space="0" w:color="000000"/>
            </w:tcBorders>
            <w:shd w:val="clear" w:color="auto" w:fill="F79646"/>
            <w:tcMar>
              <w:top w:w="15" w:type="dxa"/>
              <w:left w:w="108" w:type="dxa"/>
              <w:bottom w:w="0" w:type="dxa"/>
              <w:right w:w="108" w:type="dxa"/>
            </w:tcMar>
            <w:hideMark/>
          </w:tcPr>
          <w:p w:rsidR="00E57119" w:rsidRPr="00AD62C4" w:rsidRDefault="00E57119">
            <w:pPr>
              <w:jc w:val="center"/>
              <w:rPr>
                <w:rFonts w:ascii="Arial" w:hAnsi="Arial" w:cs="Arial"/>
                <w:lang w:eastAsia="en-GB"/>
              </w:rPr>
            </w:pPr>
            <w:r w:rsidRPr="00AD62C4">
              <w:rPr>
                <w:rFonts w:ascii="Arial" w:hAnsi="Arial" w:cs="Arial"/>
                <w:b/>
                <w:bCs/>
                <w:color w:val="000000"/>
                <w:lang w:eastAsia="en-GB"/>
              </w:rPr>
              <w:t xml:space="preserve">Developing </w:t>
            </w:r>
          </w:p>
        </w:tc>
        <w:tc>
          <w:tcPr>
            <w:tcW w:w="1609" w:type="dxa"/>
            <w:tcBorders>
              <w:top w:val="nil"/>
              <w:left w:val="nil"/>
              <w:bottom w:val="single" w:sz="8" w:space="0" w:color="000000"/>
              <w:right w:val="single" w:sz="8" w:space="0" w:color="000000"/>
            </w:tcBorders>
            <w:shd w:val="clear" w:color="auto" w:fill="92D050"/>
            <w:tcMar>
              <w:top w:w="15" w:type="dxa"/>
              <w:left w:w="108" w:type="dxa"/>
              <w:bottom w:w="0" w:type="dxa"/>
              <w:right w:w="108" w:type="dxa"/>
            </w:tcMar>
            <w:hideMark/>
          </w:tcPr>
          <w:p w:rsidR="00E57119" w:rsidRPr="00AD62C4" w:rsidRDefault="00E57119" w:rsidP="00E57119">
            <w:pPr>
              <w:jc w:val="center"/>
              <w:rPr>
                <w:rFonts w:ascii="Arial" w:eastAsia="Times New Roman" w:hAnsi="Arial" w:cs="Arial"/>
                <w:b/>
                <w:lang w:eastAsia="en-GB"/>
              </w:rPr>
            </w:pPr>
            <w:r w:rsidRPr="00AD62C4">
              <w:rPr>
                <w:rFonts w:ascii="Arial" w:hAnsi="Arial" w:cs="Arial"/>
                <w:b/>
                <w:bCs/>
                <w:color w:val="000000"/>
                <w:lang w:eastAsia="en-GB"/>
              </w:rPr>
              <w:t>Achieving</w:t>
            </w:r>
          </w:p>
        </w:tc>
      </w:tr>
      <w:tr w:rsidR="00E57119" w:rsidRPr="00AD62C4" w:rsidTr="00E57119">
        <w:trPr>
          <w:trHeight w:val="148"/>
        </w:trPr>
        <w:tc>
          <w:tcPr>
            <w:tcW w:w="0" w:type="auto"/>
            <w:vMerge/>
            <w:tcBorders>
              <w:top w:val="nil"/>
              <w:left w:val="single" w:sz="8" w:space="0" w:color="000000"/>
              <w:bottom w:val="single" w:sz="8" w:space="0" w:color="000000"/>
              <w:right w:val="single" w:sz="8" w:space="0" w:color="000000"/>
            </w:tcBorders>
            <w:vAlign w:val="center"/>
            <w:hideMark/>
          </w:tcPr>
          <w:p w:rsidR="00E57119" w:rsidRPr="00AD62C4" w:rsidRDefault="00E57119">
            <w:pPr>
              <w:rPr>
                <w:rFonts w:ascii="Arial" w:hAnsi="Arial" w:cs="Arial"/>
                <w:lang w:eastAsia="en-GB"/>
              </w:rPr>
            </w:pPr>
          </w:p>
        </w:tc>
        <w:tc>
          <w:tcPr>
            <w:tcW w:w="1725" w:type="dxa"/>
            <w:tcBorders>
              <w:top w:val="nil"/>
              <w:left w:val="nil"/>
              <w:bottom w:val="single" w:sz="8" w:space="0" w:color="000000"/>
              <w:right w:val="single" w:sz="8" w:space="0" w:color="000000"/>
            </w:tcBorders>
            <w:shd w:val="clear" w:color="auto" w:fill="BFBFBF"/>
            <w:tcMar>
              <w:top w:w="15" w:type="dxa"/>
              <w:left w:w="108" w:type="dxa"/>
              <w:bottom w:w="0" w:type="dxa"/>
              <w:right w:w="108" w:type="dxa"/>
            </w:tcMar>
            <w:hideMark/>
          </w:tcPr>
          <w:p w:rsidR="00E57119" w:rsidRPr="00AD62C4" w:rsidRDefault="00E57119">
            <w:pPr>
              <w:jc w:val="center"/>
              <w:rPr>
                <w:rFonts w:ascii="Arial" w:hAnsi="Arial" w:cs="Arial"/>
                <w:lang w:eastAsia="en-GB"/>
              </w:rPr>
            </w:pPr>
            <w:r w:rsidRPr="00AD62C4">
              <w:rPr>
                <w:rFonts w:ascii="Arial" w:hAnsi="Arial" w:cs="Arial"/>
                <w:b/>
                <w:bCs/>
                <w:color w:val="000000"/>
                <w:lang w:eastAsia="en-GB"/>
              </w:rPr>
              <w:t>3.4</w:t>
            </w:r>
          </w:p>
        </w:tc>
        <w:tc>
          <w:tcPr>
            <w:tcW w:w="1729" w:type="dxa"/>
            <w:tcBorders>
              <w:top w:val="nil"/>
              <w:left w:val="nil"/>
              <w:bottom w:val="single" w:sz="8" w:space="0" w:color="000000"/>
              <w:right w:val="single" w:sz="8" w:space="0" w:color="000000"/>
            </w:tcBorders>
            <w:shd w:val="clear" w:color="auto" w:fill="92D050"/>
            <w:tcMar>
              <w:top w:w="15" w:type="dxa"/>
              <w:left w:w="108" w:type="dxa"/>
              <w:bottom w:w="0" w:type="dxa"/>
              <w:right w:w="108" w:type="dxa"/>
            </w:tcMar>
            <w:hideMark/>
          </w:tcPr>
          <w:p w:rsidR="00E57119" w:rsidRPr="00AD62C4" w:rsidRDefault="00E57119">
            <w:pPr>
              <w:jc w:val="center"/>
              <w:rPr>
                <w:rFonts w:ascii="Arial" w:hAnsi="Arial" w:cs="Arial"/>
                <w:lang w:eastAsia="en-GB"/>
              </w:rPr>
            </w:pPr>
            <w:r w:rsidRPr="00AD62C4">
              <w:rPr>
                <w:rFonts w:ascii="Arial" w:hAnsi="Arial" w:cs="Arial"/>
                <w:b/>
                <w:bCs/>
                <w:color w:val="000000"/>
                <w:lang w:eastAsia="en-GB"/>
              </w:rPr>
              <w:t>Achieving</w:t>
            </w:r>
          </w:p>
        </w:tc>
        <w:tc>
          <w:tcPr>
            <w:tcW w:w="1611" w:type="dxa"/>
            <w:tcBorders>
              <w:top w:val="nil"/>
              <w:left w:val="nil"/>
              <w:bottom w:val="single" w:sz="8" w:space="0" w:color="000000"/>
              <w:right w:val="single" w:sz="8" w:space="0" w:color="000000"/>
            </w:tcBorders>
            <w:shd w:val="clear" w:color="auto" w:fill="92D050"/>
            <w:tcMar>
              <w:top w:w="15" w:type="dxa"/>
              <w:left w:w="108" w:type="dxa"/>
              <w:bottom w:w="0" w:type="dxa"/>
              <w:right w:w="108" w:type="dxa"/>
            </w:tcMar>
            <w:hideMark/>
          </w:tcPr>
          <w:p w:rsidR="00E57119" w:rsidRPr="00AD62C4" w:rsidRDefault="00E57119">
            <w:pPr>
              <w:jc w:val="center"/>
              <w:rPr>
                <w:rFonts w:ascii="Arial" w:hAnsi="Arial" w:cs="Arial"/>
                <w:lang w:eastAsia="en-GB"/>
              </w:rPr>
            </w:pPr>
            <w:r w:rsidRPr="00AD62C4">
              <w:rPr>
                <w:rFonts w:ascii="Arial" w:hAnsi="Arial" w:cs="Arial"/>
                <w:b/>
                <w:bCs/>
                <w:color w:val="000000"/>
                <w:lang w:eastAsia="en-GB"/>
              </w:rPr>
              <w:t>Achieving</w:t>
            </w:r>
          </w:p>
        </w:tc>
        <w:tc>
          <w:tcPr>
            <w:tcW w:w="1609" w:type="dxa"/>
            <w:tcBorders>
              <w:top w:val="nil"/>
              <w:left w:val="nil"/>
              <w:bottom w:val="single" w:sz="8" w:space="0" w:color="000000"/>
              <w:right w:val="single" w:sz="8" w:space="0" w:color="000000"/>
            </w:tcBorders>
            <w:shd w:val="clear" w:color="auto" w:fill="92D050"/>
            <w:tcMar>
              <w:top w:w="15" w:type="dxa"/>
              <w:left w:w="108" w:type="dxa"/>
              <w:bottom w:w="0" w:type="dxa"/>
              <w:right w:w="108" w:type="dxa"/>
            </w:tcMar>
            <w:hideMark/>
          </w:tcPr>
          <w:p w:rsidR="00E57119" w:rsidRPr="00AD62C4" w:rsidRDefault="00E57119" w:rsidP="00E57119">
            <w:pPr>
              <w:jc w:val="center"/>
              <w:rPr>
                <w:rFonts w:ascii="Arial" w:eastAsia="Times New Roman" w:hAnsi="Arial" w:cs="Arial"/>
                <w:b/>
                <w:lang w:eastAsia="en-GB"/>
              </w:rPr>
            </w:pPr>
            <w:r w:rsidRPr="00AD62C4">
              <w:rPr>
                <w:rFonts w:ascii="Arial" w:hAnsi="Arial" w:cs="Arial"/>
                <w:b/>
                <w:bCs/>
                <w:color w:val="000000"/>
                <w:lang w:eastAsia="en-GB"/>
              </w:rPr>
              <w:t>Achieving</w:t>
            </w:r>
          </w:p>
        </w:tc>
      </w:tr>
      <w:tr w:rsidR="00E57119" w:rsidRPr="00AD62C4" w:rsidTr="00E57119">
        <w:trPr>
          <w:trHeight w:val="148"/>
        </w:trPr>
        <w:tc>
          <w:tcPr>
            <w:tcW w:w="0" w:type="auto"/>
            <w:vMerge/>
            <w:tcBorders>
              <w:top w:val="nil"/>
              <w:left w:val="single" w:sz="8" w:space="0" w:color="000000"/>
              <w:bottom w:val="single" w:sz="8" w:space="0" w:color="000000"/>
              <w:right w:val="single" w:sz="8" w:space="0" w:color="000000"/>
            </w:tcBorders>
            <w:vAlign w:val="center"/>
            <w:hideMark/>
          </w:tcPr>
          <w:p w:rsidR="00E57119" w:rsidRPr="00AD62C4" w:rsidRDefault="00E57119">
            <w:pPr>
              <w:rPr>
                <w:rFonts w:ascii="Arial" w:hAnsi="Arial" w:cs="Arial"/>
                <w:lang w:eastAsia="en-GB"/>
              </w:rPr>
            </w:pPr>
          </w:p>
        </w:tc>
        <w:tc>
          <w:tcPr>
            <w:tcW w:w="1725" w:type="dxa"/>
            <w:tcBorders>
              <w:top w:val="nil"/>
              <w:left w:val="nil"/>
              <w:bottom w:val="single" w:sz="8" w:space="0" w:color="000000"/>
              <w:right w:val="single" w:sz="8" w:space="0" w:color="000000"/>
            </w:tcBorders>
            <w:shd w:val="clear" w:color="auto" w:fill="BFBFBF"/>
            <w:tcMar>
              <w:top w:w="15" w:type="dxa"/>
              <w:left w:w="108" w:type="dxa"/>
              <w:bottom w:w="0" w:type="dxa"/>
              <w:right w:w="108" w:type="dxa"/>
            </w:tcMar>
            <w:hideMark/>
          </w:tcPr>
          <w:p w:rsidR="00E57119" w:rsidRPr="00AD62C4" w:rsidRDefault="00E57119">
            <w:pPr>
              <w:jc w:val="center"/>
              <w:rPr>
                <w:rFonts w:ascii="Arial" w:hAnsi="Arial" w:cs="Arial"/>
                <w:lang w:eastAsia="en-GB"/>
              </w:rPr>
            </w:pPr>
            <w:r w:rsidRPr="00AD62C4">
              <w:rPr>
                <w:rFonts w:ascii="Arial" w:hAnsi="Arial" w:cs="Arial"/>
                <w:b/>
                <w:bCs/>
                <w:color w:val="000000"/>
                <w:lang w:eastAsia="en-GB"/>
              </w:rPr>
              <w:t>3.5</w:t>
            </w:r>
          </w:p>
        </w:tc>
        <w:tc>
          <w:tcPr>
            <w:tcW w:w="1729" w:type="dxa"/>
            <w:tcBorders>
              <w:top w:val="nil"/>
              <w:left w:val="nil"/>
              <w:bottom w:val="single" w:sz="8" w:space="0" w:color="000000"/>
              <w:right w:val="single" w:sz="8" w:space="0" w:color="000000"/>
            </w:tcBorders>
            <w:shd w:val="clear" w:color="auto" w:fill="92D050"/>
            <w:tcMar>
              <w:top w:w="15" w:type="dxa"/>
              <w:left w:w="108" w:type="dxa"/>
              <w:bottom w:w="0" w:type="dxa"/>
              <w:right w:w="108" w:type="dxa"/>
            </w:tcMar>
            <w:hideMark/>
          </w:tcPr>
          <w:p w:rsidR="00E57119" w:rsidRPr="00AD62C4" w:rsidRDefault="00E57119">
            <w:pPr>
              <w:jc w:val="center"/>
              <w:rPr>
                <w:rFonts w:ascii="Arial" w:hAnsi="Arial" w:cs="Arial"/>
                <w:lang w:eastAsia="en-GB"/>
              </w:rPr>
            </w:pPr>
            <w:r w:rsidRPr="00AD62C4">
              <w:rPr>
                <w:rFonts w:ascii="Arial" w:hAnsi="Arial" w:cs="Arial"/>
                <w:b/>
                <w:bCs/>
                <w:color w:val="000000"/>
                <w:lang w:eastAsia="en-GB"/>
              </w:rPr>
              <w:t>Achieving</w:t>
            </w:r>
          </w:p>
        </w:tc>
        <w:tc>
          <w:tcPr>
            <w:tcW w:w="1611" w:type="dxa"/>
            <w:tcBorders>
              <w:top w:val="nil"/>
              <w:left w:val="nil"/>
              <w:bottom w:val="single" w:sz="8" w:space="0" w:color="000000"/>
              <w:right w:val="single" w:sz="8" w:space="0" w:color="000000"/>
            </w:tcBorders>
            <w:shd w:val="clear" w:color="auto" w:fill="92D050"/>
            <w:tcMar>
              <w:top w:w="15" w:type="dxa"/>
              <w:left w:w="108" w:type="dxa"/>
              <w:bottom w:w="0" w:type="dxa"/>
              <w:right w:w="108" w:type="dxa"/>
            </w:tcMar>
            <w:hideMark/>
          </w:tcPr>
          <w:p w:rsidR="00E57119" w:rsidRPr="00AD62C4" w:rsidRDefault="00E57119">
            <w:pPr>
              <w:jc w:val="center"/>
              <w:rPr>
                <w:rFonts w:ascii="Arial" w:hAnsi="Arial" w:cs="Arial"/>
                <w:lang w:eastAsia="en-GB"/>
              </w:rPr>
            </w:pPr>
            <w:r w:rsidRPr="00AD62C4">
              <w:rPr>
                <w:rFonts w:ascii="Arial" w:hAnsi="Arial" w:cs="Arial"/>
                <w:b/>
                <w:bCs/>
                <w:color w:val="000000"/>
                <w:lang w:eastAsia="en-GB"/>
              </w:rPr>
              <w:t>Achieving</w:t>
            </w:r>
          </w:p>
        </w:tc>
        <w:tc>
          <w:tcPr>
            <w:tcW w:w="1609" w:type="dxa"/>
            <w:tcBorders>
              <w:top w:val="nil"/>
              <w:left w:val="nil"/>
              <w:bottom w:val="single" w:sz="8" w:space="0" w:color="000000"/>
              <w:right w:val="single" w:sz="8" w:space="0" w:color="000000"/>
            </w:tcBorders>
            <w:shd w:val="clear" w:color="auto" w:fill="92D050"/>
            <w:tcMar>
              <w:top w:w="15" w:type="dxa"/>
              <w:left w:w="108" w:type="dxa"/>
              <w:bottom w:w="0" w:type="dxa"/>
              <w:right w:w="108" w:type="dxa"/>
            </w:tcMar>
            <w:hideMark/>
          </w:tcPr>
          <w:p w:rsidR="00E57119" w:rsidRPr="00AD62C4" w:rsidRDefault="00E57119" w:rsidP="00E57119">
            <w:pPr>
              <w:jc w:val="center"/>
              <w:rPr>
                <w:rFonts w:ascii="Arial" w:eastAsia="Times New Roman" w:hAnsi="Arial" w:cs="Arial"/>
                <w:b/>
                <w:lang w:eastAsia="en-GB"/>
              </w:rPr>
            </w:pPr>
            <w:r w:rsidRPr="00AD62C4">
              <w:rPr>
                <w:rFonts w:ascii="Arial" w:hAnsi="Arial" w:cs="Arial"/>
                <w:b/>
                <w:bCs/>
                <w:color w:val="000000"/>
                <w:lang w:eastAsia="en-GB"/>
              </w:rPr>
              <w:t>Achieving</w:t>
            </w:r>
          </w:p>
        </w:tc>
      </w:tr>
      <w:tr w:rsidR="00E57119" w:rsidRPr="00AD62C4" w:rsidTr="00E57119">
        <w:trPr>
          <w:trHeight w:val="148"/>
        </w:trPr>
        <w:tc>
          <w:tcPr>
            <w:tcW w:w="0" w:type="auto"/>
            <w:vMerge/>
            <w:tcBorders>
              <w:top w:val="nil"/>
              <w:left w:val="single" w:sz="8" w:space="0" w:color="000000"/>
              <w:bottom w:val="single" w:sz="8" w:space="0" w:color="000000"/>
              <w:right w:val="single" w:sz="8" w:space="0" w:color="000000"/>
            </w:tcBorders>
            <w:vAlign w:val="center"/>
            <w:hideMark/>
          </w:tcPr>
          <w:p w:rsidR="00E57119" w:rsidRPr="00AD62C4" w:rsidRDefault="00E57119">
            <w:pPr>
              <w:rPr>
                <w:rFonts w:ascii="Arial" w:hAnsi="Arial" w:cs="Arial"/>
                <w:lang w:eastAsia="en-GB"/>
              </w:rPr>
            </w:pPr>
          </w:p>
        </w:tc>
        <w:tc>
          <w:tcPr>
            <w:tcW w:w="1725" w:type="dxa"/>
            <w:tcBorders>
              <w:top w:val="nil"/>
              <w:left w:val="nil"/>
              <w:bottom w:val="single" w:sz="8" w:space="0" w:color="000000"/>
              <w:right w:val="single" w:sz="8" w:space="0" w:color="000000"/>
            </w:tcBorders>
            <w:shd w:val="clear" w:color="auto" w:fill="BFBFBF"/>
            <w:tcMar>
              <w:top w:w="15" w:type="dxa"/>
              <w:left w:w="108" w:type="dxa"/>
              <w:bottom w:w="0" w:type="dxa"/>
              <w:right w:w="108" w:type="dxa"/>
            </w:tcMar>
            <w:hideMark/>
          </w:tcPr>
          <w:p w:rsidR="00E57119" w:rsidRPr="00AD62C4" w:rsidRDefault="00E57119">
            <w:pPr>
              <w:jc w:val="center"/>
              <w:rPr>
                <w:rFonts w:ascii="Arial" w:hAnsi="Arial" w:cs="Arial"/>
                <w:lang w:eastAsia="en-GB"/>
              </w:rPr>
            </w:pPr>
            <w:r w:rsidRPr="00AD62C4">
              <w:rPr>
                <w:rFonts w:ascii="Arial" w:hAnsi="Arial" w:cs="Arial"/>
                <w:b/>
                <w:bCs/>
                <w:color w:val="000000"/>
                <w:lang w:eastAsia="en-GB"/>
              </w:rPr>
              <w:t>3.6</w:t>
            </w:r>
          </w:p>
        </w:tc>
        <w:tc>
          <w:tcPr>
            <w:tcW w:w="1729" w:type="dxa"/>
            <w:tcBorders>
              <w:top w:val="nil"/>
              <w:left w:val="nil"/>
              <w:bottom w:val="single" w:sz="8" w:space="0" w:color="000000"/>
              <w:right w:val="single" w:sz="8" w:space="0" w:color="000000"/>
            </w:tcBorders>
            <w:shd w:val="clear" w:color="auto" w:fill="CC3399"/>
            <w:tcMar>
              <w:top w:w="15" w:type="dxa"/>
              <w:left w:w="108" w:type="dxa"/>
              <w:bottom w:w="0" w:type="dxa"/>
              <w:right w:w="108" w:type="dxa"/>
            </w:tcMar>
            <w:hideMark/>
          </w:tcPr>
          <w:p w:rsidR="00E57119" w:rsidRPr="00AD62C4" w:rsidRDefault="00E57119">
            <w:pPr>
              <w:jc w:val="center"/>
              <w:rPr>
                <w:rFonts w:ascii="Arial" w:hAnsi="Arial" w:cs="Arial"/>
                <w:lang w:eastAsia="en-GB"/>
              </w:rPr>
            </w:pPr>
            <w:r w:rsidRPr="00AD62C4">
              <w:rPr>
                <w:rFonts w:ascii="Arial" w:hAnsi="Arial" w:cs="Arial"/>
                <w:b/>
                <w:bCs/>
                <w:color w:val="000000"/>
                <w:lang w:eastAsia="en-GB"/>
              </w:rPr>
              <w:t xml:space="preserve">Excelling </w:t>
            </w:r>
          </w:p>
        </w:tc>
        <w:tc>
          <w:tcPr>
            <w:tcW w:w="1611" w:type="dxa"/>
            <w:tcBorders>
              <w:top w:val="nil"/>
              <w:left w:val="nil"/>
              <w:bottom w:val="single" w:sz="8" w:space="0" w:color="000000"/>
              <w:right w:val="single" w:sz="8" w:space="0" w:color="000000"/>
            </w:tcBorders>
            <w:shd w:val="clear" w:color="auto" w:fill="CC3399"/>
            <w:tcMar>
              <w:top w:w="15" w:type="dxa"/>
              <w:left w:w="108" w:type="dxa"/>
              <w:bottom w:w="0" w:type="dxa"/>
              <w:right w:w="108" w:type="dxa"/>
            </w:tcMar>
            <w:hideMark/>
          </w:tcPr>
          <w:p w:rsidR="00E57119" w:rsidRPr="00AD62C4" w:rsidRDefault="00E57119">
            <w:pPr>
              <w:jc w:val="center"/>
              <w:rPr>
                <w:rFonts w:ascii="Arial" w:hAnsi="Arial" w:cs="Arial"/>
                <w:lang w:eastAsia="en-GB"/>
              </w:rPr>
            </w:pPr>
            <w:r w:rsidRPr="00AD62C4">
              <w:rPr>
                <w:rFonts w:ascii="Arial" w:hAnsi="Arial" w:cs="Arial"/>
                <w:b/>
                <w:bCs/>
                <w:color w:val="000000"/>
                <w:lang w:eastAsia="en-GB"/>
              </w:rPr>
              <w:t xml:space="preserve">Excelling </w:t>
            </w:r>
          </w:p>
        </w:tc>
        <w:tc>
          <w:tcPr>
            <w:tcW w:w="1609" w:type="dxa"/>
            <w:tcBorders>
              <w:top w:val="nil"/>
              <w:left w:val="nil"/>
              <w:bottom w:val="single" w:sz="8" w:space="0" w:color="000000"/>
              <w:right w:val="single" w:sz="8" w:space="0" w:color="000000"/>
            </w:tcBorders>
            <w:shd w:val="clear" w:color="auto" w:fill="CC3399"/>
            <w:tcMar>
              <w:top w:w="15" w:type="dxa"/>
              <w:left w:w="108" w:type="dxa"/>
              <w:bottom w:w="0" w:type="dxa"/>
              <w:right w:w="108" w:type="dxa"/>
            </w:tcMar>
            <w:hideMark/>
          </w:tcPr>
          <w:p w:rsidR="00E57119" w:rsidRPr="00AD62C4" w:rsidRDefault="00E57119" w:rsidP="00E57119">
            <w:pPr>
              <w:jc w:val="center"/>
              <w:rPr>
                <w:rFonts w:ascii="Arial" w:eastAsia="Times New Roman" w:hAnsi="Arial" w:cs="Arial"/>
                <w:b/>
                <w:lang w:eastAsia="en-GB"/>
              </w:rPr>
            </w:pPr>
            <w:r w:rsidRPr="00AD62C4">
              <w:rPr>
                <w:rFonts w:ascii="Arial" w:eastAsia="Times New Roman" w:hAnsi="Arial" w:cs="Arial"/>
                <w:b/>
                <w:lang w:eastAsia="en-GB"/>
              </w:rPr>
              <w:t>Excelling</w:t>
            </w:r>
          </w:p>
        </w:tc>
      </w:tr>
      <w:tr w:rsidR="00E57119" w:rsidRPr="00AD62C4" w:rsidTr="00E57119">
        <w:trPr>
          <w:trHeight w:val="148"/>
        </w:trPr>
        <w:tc>
          <w:tcPr>
            <w:tcW w:w="2009" w:type="dxa"/>
            <w:vMerge w:val="restart"/>
            <w:tcBorders>
              <w:top w:val="nil"/>
              <w:left w:val="single" w:sz="8" w:space="0" w:color="000000"/>
              <w:bottom w:val="single" w:sz="8" w:space="0" w:color="000000"/>
              <w:right w:val="single" w:sz="8" w:space="0" w:color="000000"/>
            </w:tcBorders>
            <w:shd w:val="clear" w:color="auto" w:fill="A6A6A6"/>
            <w:tcMar>
              <w:top w:w="15" w:type="dxa"/>
              <w:left w:w="108" w:type="dxa"/>
              <w:bottom w:w="0" w:type="dxa"/>
              <w:right w:w="108" w:type="dxa"/>
            </w:tcMar>
            <w:hideMark/>
          </w:tcPr>
          <w:p w:rsidR="00E57119" w:rsidRPr="00AD62C4" w:rsidRDefault="00E57119">
            <w:pPr>
              <w:rPr>
                <w:rFonts w:ascii="Arial" w:hAnsi="Arial" w:cs="Arial"/>
                <w:lang w:eastAsia="en-GB"/>
              </w:rPr>
            </w:pPr>
            <w:r w:rsidRPr="00AD62C4">
              <w:rPr>
                <w:rFonts w:ascii="Arial" w:hAnsi="Arial" w:cs="Arial"/>
                <w:b/>
                <w:bCs/>
                <w:color w:val="000000"/>
                <w:lang w:eastAsia="en-GB"/>
              </w:rPr>
              <w:t xml:space="preserve">Inclusive leadership </w:t>
            </w:r>
          </w:p>
        </w:tc>
        <w:tc>
          <w:tcPr>
            <w:tcW w:w="1725" w:type="dxa"/>
            <w:tcBorders>
              <w:top w:val="nil"/>
              <w:left w:val="nil"/>
              <w:bottom w:val="single" w:sz="8" w:space="0" w:color="000000"/>
              <w:right w:val="single" w:sz="8" w:space="0" w:color="000000"/>
            </w:tcBorders>
            <w:shd w:val="clear" w:color="auto" w:fill="A6A6A6"/>
            <w:tcMar>
              <w:top w:w="15" w:type="dxa"/>
              <w:left w:w="108" w:type="dxa"/>
              <w:bottom w:w="0" w:type="dxa"/>
              <w:right w:w="108" w:type="dxa"/>
            </w:tcMar>
            <w:hideMark/>
          </w:tcPr>
          <w:p w:rsidR="00E57119" w:rsidRPr="00AD62C4" w:rsidRDefault="00E57119">
            <w:pPr>
              <w:jc w:val="center"/>
              <w:rPr>
                <w:rFonts w:ascii="Arial" w:hAnsi="Arial" w:cs="Arial"/>
                <w:lang w:eastAsia="en-GB"/>
              </w:rPr>
            </w:pPr>
            <w:r w:rsidRPr="00AD62C4">
              <w:rPr>
                <w:rFonts w:ascii="Arial" w:hAnsi="Arial" w:cs="Arial"/>
                <w:b/>
                <w:bCs/>
                <w:color w:val="000000"/>
                <w:lang w:eastAsia="en-GB"/>
              </w:rPr>
              <w:t>4.1</w:t>
            </w:r>
          </w:p>
        </w:tc>
        <w:tc>
          <w:tcPr>
            <w:tcW w:w="1729" w:type="dxa"/>
            <w:tcBorders>
              <w:top w:val="nil"/>
              <w:left w:val="nil"/>
              <w:bottom w:val="single" w:sz="8" w:space="0" w:color="000000"/>
              <w:right w:val="single" w:sz="8" w:space="0" w:color="000000"/>
            </w:tcBorders>
            <w:shd w:val="clear" w:color="auto" w:fill="92D050"/>
            <w:tcMar>
              <w:top w:w="15" w:type="dxa"/>
              <w:left w:w="108" w:type="dxa"/>
              <w:bottom w:w="0" w:type="dxa"/>
              <w:right w:w="108" w:type="dxa"/>
            </w:tcMar>
            <w:hideMark/>
          </w:tcPr>
          <w:p w:rsidR="00E57119" w:rsidRPr="00AD62C4" w:rsidRDefault="00E57119">
            <w:pPr>
              <w:jc w:val="center"/>
              <w:rPr>
                <w:rFonts w:ascii="Arial" w:hAnsi="Arial" w:cs="Arial"/>
                <w:lang w:eastAsia="en-GB"/>
              </w:rPr>
            </w:pPr>
            <w:r w:rsidRPr="00AD62C4">
              <w:rPr>
                <w:rFonts w:ascii="Arial" w:hAnsi="Arial" w:cs="Arial"/>
                <w:b/>
                <w:bCs/>
                <w:color w:val="000000"/>
                <w:lang w:eastAsia="en-GB"/>
              </w:rPr>
              <w:t>Achieving</w:t>
            </w:r>
          </w:p>
        </w:tc>
        <w:tc>
          <w:tcPr>
            <w:tcW w:w="1611" w:type="dxa"/>
            <w:tcBorders>
              <w:top w:val="nil"/>
              <w:left w:val="nil"/>
              <w:bottom w:val="single" w:sz="8" w:space="0" w:color="000000"/>
              <w:right w:val="single" w:sz="8" w:space="0" w:color="000000"/>
            </w:tcBorders>
            <w:shd w:val="clear" w:color="auto" w:fill="92D050"/>
            <w:tcMar>
              <w:top w:w="15" w:type="dxa"/>
              <w:left w:w="108" w:type="dxa"/>
              <w:bottom w:w="0" w:type="dxa"/>
              <w:right w:w="108" w:type="dxa"/>
            </w:tcMar>
            <w:hideMark/>
          </w:tcPr>
          <w:p w:rsidR="00E57119" w:rsidRPr="00AD62C4" w:rsidRDefault="00E57119">
            <w:pPr>
              <w:jc w:val="center"/>
              <w:rPr>
                <w:rFonts w:ascii="Arial" w:hAnsi="Arial" w:cs="Arial"/>
                <w:lang w:eastAsia="en-GB"/>
              </w:rPr>
            </w:pPr>
            <w:r w:rsidRPr="00AD62C4">
              <w:rPr>
                <w:rFonts w:ascii="Arial" w:hAnsi="Arial" w:cs="Arial"/>
                <w:b/>
                <w:bCs/>
                <w:color w:val="000000"/>
                <w:lang w:eastAsia="en-GB"/>
              </w:rPr>
              <w:t>Achieving</w:t>
            </w:r>
          </w:p>
        </w:tc>
        <w:tc>
          <w:tcPr>
            <w:tcW w:w="1609" w:type="dxa"/>
            <w:tcBorders>
              <w:top w:val="nil"/>
              <w:left w:val="nil"/>
              <w:bottom w:val="single" w:sz="8" w:space="0" w:color="000000"/>
              <w:right w:val="single" w:sz="8" w:space="0" w:color="000000"/>
            </w:tcBorders>
            <w:shd w:val="clear" w:color="auto" w:fill="92D050"/>
            <w:tcMar>
              <w:top w:w="15" w:type="dxa"/>
              <w:left w:w="108" w:type="dxa"/>
              <w:bottom w:w="0" w:type="dxa"/>
              <w:right w:w="108" w:type="dxa"/>
            </w:tcMar>
            <w:hideMark/>
          </w:tcPr>
          <w:p w:rsidR="00E57119" w:rsidRPr="00AD62C4" w:rsidRDefault="00E57119" w:rsidP="00E57119">
            <w:pPr>
              <w:jc w:val="center"/>
              <w:rPr>
                <w:rFonts w:ascii="Arial" w:eastAsia="Times New Roman" w:hAnsi="Arial" w:cs="Arial"/>
                <w:b/>
                <w:lang w:eastAsia="en-GB"/>
              </w:rPr>
            </w:pPr>
            <w:r w:rsidRPr="00AD62C4">
              <w:rPr>
                <w:rFonts w:ascii="Arial" w:hAnsi="Arial" w:cs="Arial"/>
                <w:b/>
                <w:bCs/>
                <w:color w:val="000000"/>
                <w:lang w:eastAsia="en-GB"/>
              </w:rPr>
              <w:t>Achieving</w:t>
            </w:r>
          </w:p>
        </w:tc>
      </w:tr>
      <w:tr w:rsidR="00E57119" w:rsidRPr="00AD62C4" w:rsidTr="00E57119">
        <w:trPr>
          <w:trHeight w:val="156"/>
        </w:trPr>
        <w:tc>
          <w:tcPr>
            <w:tcW w:w="0" w:type="auto"/>
            <w:vMerge/>
            <w:tcBorders>
              <w:top w:val="nil"/>
              <w:left w:val="single" w:sz="8" w:space="0" w:color="000000"/>
              <w:bottom w:val="single" w:sz="8" w:space="0" w:color="000000"/>
              <w:right w:val="single" w:sz="8" w:space="0" w:color="000000"/>
            </w:tcBorders>
            <w:vAlign w:val="center"/>
            <w:hideMark/>
          </w:tcPr>
          <w:p w:rsidR="00E57119" w:rsidRPr="00AD62C4" w:rsidRDefault="00E57119">
            <w:pPr>
              <w:rPr>
                <w:rFonts w:ascii="Arial" w:hAnsi="Arial" w:cs="Arial"/>
                <w:lang w:eastAsia="en-GB"/>
              </w:rPr>
            </w:pPr>
          </w:p>
        </w:tc>
        <w:tc>
          <w:tcPr>
            <w:tcW w:w="1725" w:type="dxa"/>
            <w:tcBorders>
              <w:top w:val="nil"/>
              <w:left w:val="nil"/>
              <w:bottom w:val="single" w:sz="8" w:space="0" w:color="000000"/>
              <w:right w:val="single" w:sz="8" w:space="0" w:color="000000"/>
            </w:tcBorders>
            <w:shd w:val="clear" w:color="auto" w:fill="A6A6A6"/>
            <w:tcMar>
              <w:top w:w="15" w:type="dxa"/>
              <w:left w:w="108" w:type="dxa"/>
              <w:bottom w:w="0" w:type="dxa"/>
              <w:right w:w="108" w:type="dxa"/>
            </w:tcMar>
            <w:hideMark/>
          </w:tcPr>
          <w:p w:rsidR="00E57119" w:rsidRPr="00AD62C4" w:rsidRDefault="00E57119">
            <w:pPr>
              <w:jc w:val="center"/>
              <w:rPr>
                <w:rFonts w:ascii="Arial" w:hAnsi="Arial" w:cs="Arial"/>
                <w:lang w:eastAsia="en-GB"/>
              </w:rPr>
            </w:pPr>
            <w:r w:rsidRPr="00AD62C4">
              <w:rPr>
                <w:rFonts w:ascii="Arial" w:hAnsi="Arial" w:cs="Arial"/>
                <w:b/>
                <w:bCs/>
                <w:color w:val="000000"/>
                <w:lang w:eastAsia="en-GB"/>
              </w:rPr>
              <w:t>4.2</w:t>
            </w:r>
          </w:p>
        </w:tc>
        <w:tc>
          <w:tcPr>
            <w:tcW w:w="1729" w:type="dxa"/>
            <w:tcBorders>
              <w:top w:val="nil"/>
              <w:left w:val="nil"/>
              <w:bottom w:val="single" w:sz="8" w:space="0" w:color="000000"/>
              <w:right w:val="single" w:sz="8" w:space="0" w:color="000000"/>
            </w:tcBorders>
            <w:shd w:val="clear" w:color="auto" w:fill="92D050"/>
            <w:tcMar>
              <w:top w:w="15" w:type="dxa"/>
              <w:left w:w="108" w:type="dxa"/>
              <w:bottom w:w="0" w:type="dxa"/>
              <w:right w:w="108" w:type="dxa"/>
            </w:tcMar>
            <w:hideMark/>
          </w:tcPr>
          <w:p w:rsidR="00E57119" w:rsidRPr="00AD62C4" w:rsidRDefault="00E57119">
            <w:pPr>
              <w:jc w:val="center"/>
              <w:rPr>
                <w:rFonts w:ascii="Arial" w:hAnsi="Arial" w:cs="Arial"/>
                <w:lang w:eastAsia="en-GB"/>
              </w:rPr>
            </w:pPr>
            <w:r w:rsidRPr="00AD62C4">
              <w:rPr>
                <w:rFonts w:ascii="Arial" w:hAnsi="Arial" w:cs="Arial"/>
                <w:b/>
                <w:bCs/>
                <w:color w:val="000000"/>
                <w:lang w:eastAsia="en-GB"/>
              </w:rPr>
              <w:t>Achieving</w:t>
            </w:r>
          </w:p>
        </w:tc>
        <w:tc>
          <w:tcPr>
            <w:tcW w:w="1611" w:type="dxa"/>
            <w:tcBorders>
              <w:top w:val="nil"/>
              <w:left w:val="nil"/>
              <w:bottom w:val="single" w:sz="8" w:space="0" w:color="000000"/>
              <w:right w:val="single" w:sz="8" w:space="0" w:color="000000"/>
            </w:tcBorders>
            <w:shd w:val="clear" w:color="auto" w:fill="92D050"/>
            <w:tcMar>
              <w:top w:w="15" w:type="dxa"/>
              <w:left w:w="108" w:type="dxa"/>
              <w:bottom w:w="0" w:type="dxa"/>
              <w:right w:w="108" w:type="dxa"/>
            </w:tcMar>
            <w:hideMark/>
          </w:tcPr>
          <w:p w:rsidR="00E57119" w:rsidRPr="00AD62C4" w:rsidRDefault="00E57119">
            <w:pPr>
              <w:jc w:val="center"/>
              <w:rPr>
                <w:rFonts w:ascii="Arial" w:hAnsi="Arial" w:cs="Arial"/>
                <w:lang w:eastAsia="en-GB"/>
              </w:rPr>
            </w:pPr>
            <w:r w:rsidRPr="00AD62C4">
              <w:rPr>
                <w:rFonts w:ascii="Arial" w:hAnsi="Arial" w:cs="Arial"/>
                <w:b/>
                <w:bCs/>
                <w:color w:val="000000"/>
                <w:lang w:eastAsia="en-GB"/>
              </w:rPr>
              <w:t>Achieving</w:t>
            </w:r>
          </w:p>
        </w:tc>
        <w:tc>
          <w:tcPr>
            <w:tcW w:w="1609" w:type="dxa"/>
            <w:tcBorders>
              <w:top w:val="nil"/>
              <w:left w:val="nil"/>
              <w:bottom w:val="single" w:sz="8" w:space="0" w:color="000000"/>
              <w:right w:val="single" w:sz="8" w:space="0" w:color="000000"/>
            </w:tcBorders>
            <w:shd w:val="clear" w:color="auto" w:fill="92D050"/>
            <w:tcMar>
              <w:top w:w="15" w:type="dxa"/>
              <w:left w:w="108" w:type="dxa"/>
              <w:bottom w:w="0" w:type="dxa"/>
              <w:right w:w="108" w:type="dxa"/>
            </w:tcMar>
            <w:hideMark/>
          </w:tcPr>
          <w:p w:rsidR="00E57119" w:rsidRPr="00AD62C4" w:rsidRDefault="00E57119" w:rsidP="00E57119">
            <w:pPr>
              <w:jc w:val="center"/>
              <w:rPr>
                <w:rFonts w:ascii="Arial" w:eastAsia="Times New Roman" w:hAnsi="Arial" w:cs="Arial"/>
                <w:b/>
                <w:lang w:eastAsia="en-GB"/>
              </w:rPr>
            </w:pPr>
            <w:r w:rsidRPr="00AD62C4">
              <w:rPr>
                <w:rFonts w:ascii="Arial" w:hAnsi="Arial" w:cs="Arial"/>
                <w:b/>
                <w:bCs/>
                <w:color w:val="000000"/>
                <w:lang w:eastAsia="en-GB"/>
              </w:rPr>
              <w:t>Achieving</w:t>
            </w:r>
          </w:p>
        </w:tc>
      </w:tr>
      <w:tr w:rsidR="00E57119" w:rsidRPr="00AD62C4" w:rsidTr="00E57119">
        <w:trPr>
          <w:trHeight w:val="159"/>
        </w:trPr>
        <w:tc>
          <w:tcPr>
            <w:tcW w:w="0" w:type="auto"/>
            <w:vMerge/>
            <w:tcBorders>
              <w:top w:val="nil"/>
              <w:left w:val="single" w:sz="8" w:space="0" w:color="000000"/>
              <w:bottom w:val="single" w:sz="8" w:space="0" w:color="000000"/>
              <w:right w:val="single" w:sz="8" w:space="0" w:color="000000"/>
            </w:tcBorders>
            <w:vAlign w:val="center"/>
            <w:hideMark/>
          </w:tcPr>
          <w:p w:rsidR="00E57119" w:rsidRPr="00AD62C4" w:rsidRDefault="00E57119">
            <w:pPr>
              <w:rPr>
                <w:rFonts w:ascii="Arial" w:hAnsi="Arial" w:cs="Arial"/>
                <w:lang w:eastAsia="en-GB"/>
              </w:rPr>
            </w:pPr>
          </w:p>
        </w:tc>
        <w:tc>
          <w:tcPr>
            <w:tcW w:w="1725" w:type="dxa"/>
            <w:tcBorders>
              <w:top w:val="nil"/>
              <w:left w:val="nil"/>
              <w:bottom w:val="single" w:sz="8" w:space="0" w:color="000000"/>
              <w:right w:val="single" w:sz="8" w:space="0" w:color="000000"/>
            </w:tcBorders>
            <w:shd w:val="clear" w:color="auto" w:fill="A6A6A6"/>
            <w:tcMar>
              <w:top w:w="15" w:type="dxa"/>
              <w:left w:w="108" w:type="dxa"/>
              <w:bottom w:w="0" w:type="dxa"/>
              <w:right w:w="108" w:type="dxa"/>
            </w:tcMar>
            <w:hideMark/>
          </w:tcPr>
          <w:p w:rsidR="00E57119" w:rsidRPr="00AD62C4" w:rsidRDefault="00E57119">
            <w:pPr>
              <w:jc w:val="center"/>
              <w:rPr>
                <w:rFonts w:ascii="Arial" w:hAnsi="Arial" w:cs="Arial"/>
                <w:lang w:eastAsia="en-GB"/>
              </w:rPr>
            </w:pPr>
            <w:r w:rsidRPr="00AD62C4">
              <w:rPr>
                <w:rFonts w:ascii="Arial" w:hAnsi="Arial" w:cs="Arial"/>
                <w:b/>
                <w:bCs/>
                <w:color w:val="000000"/>
                <w:lang w:eastAsia="en-GB"/>
              </w:rPr>
              <w:t>4.3</w:t>
            </w:r>
          </w:p>
        </w:tc>
        <w:tc>
          <w:tcPr>
            <w:tcW w:w="1729" w:type="dxa"/>
            <w:tcBorders>
              <w:top w:val="nil"/>
              <w:left w:val="nil"/>
              <w:bottom w:val="single" w:sz="8" w:space="0" w:color="000000"/>
              <w:right w:val="single" w:sz="8" w:space="0" w:color="000000"/>
            </w:tcBorders>
            <w:shd w:val="clear" w:color="auto" w:fill="F79646"/>
            <w:tcMar>
              <w:top w:w="15" w:type="dxa"/>
              <w:left w:w="108" w:type="dxa"/>
              <w:bottom w:w="0" w:type="dxa"/>
              <w:right w:w="108" w:type="dxa"/>
            </w:tcMar>
            <w:hideMark/>
          </w:tcPr>
          <w:p w:rsidR="00E57119" w:rsidRPr="00AD62C4" w:rsidRDefault="00E57119">
            <w:pPr>
              <w:jc w:val="center"/>
              <w:rPr>
                <w:rFonts w:ascii="Arial" w:hAnsi="Arial" w:cs="Arial"/>
                <w:lang w:eastAsia="en-GB"/>
              </w:rPr>
            </w:pPr>
            <w:r w:rsidRPr="00AD62C4">
              <w:rPr>
                <w:rFonts w:ascii="Arial" w:hAnsi="Arial" w:cs="Arial"/>
                <w:b/>
                <w:bCs/>
                <w:color w:val="000000"/>
                <w:lang w:eastAsia="en-GB"/>
              </w:rPr>
              <w:t xml:space="preserve">Developing </w:t>
            </w:r>
          </w:p>
        </w:tc>
        <w:tc>
          <w:tcPr>
            <w:tcW w:w="1611" w:type="dxa"/>
            <w:tcBorders>
              <w:top w:val="nil"/>
              <w:left w:val="nil"/>
              <w:bottom w:val="single" w:sz="8" w:space="0" w:color="000000"/>
              <w:right w:val="single" w:sz="8" w:space="0" w:color="000000"/>
            </w:tcBorders>
            <w:shd w:val="clear" w:color="auto" w:fill="92D050"/>
            <w:tcMar>
              <w:top w:w="15" w:type="dxa"/>
              <w:left w:w="108" w:type="dxa"/>
              <w:bottom w:w="0" w:type="dxa"/>
              <w:right w:w="108" w:type="dxa"/>
            </w:tcMar>
            <w:hideMark/>
          </w:tcPr>
          <w:p w:rsidR="00E57119" w:rsidRPr="00AD62C4" w:rsidRDefault="00E57119">
            <w:pPr>
              <w:jc w:val="center"/>
              <w:rPr>
                <w:rFonts w:ascii="Arial" w:hAnsi="Arial" w:cs="Arial"/>
                <w:lang w:eastAsia="en-GB"/>
              </w:rPr>
            </w:pPr>
            <w:r w:rsidRPr="00AD62C4">
              <w:rPr>
                <w:rFonts w:ascii="Arial" w:hAnsi="Arial" w:cs="Arial"/>
                <w:b/>
                <w:bCs/>
                <w:color w:val="000000"/>
                <w:lang w:eastAsia="en-GB"/>
              </w:rPr>
              <w:t>Achieving</w:t>
            </w:r>
          </w:p>
        </w:tc>
        <w:tc>
          <w:tcPr>
            <w:tcW w:w="1609" w:type="dxa"/>
            <w:tcBorders>
              <w:top w:val="nil"/>
              <w:left w:val="nil"/>
              <w:bottom w:val="single" w:sz="8" w:space="0" w:color="000000"/>
              <w:right w:val="single" w:sz="8" w:space="0" w:color="000000"/>
            </w:tcBorders>
            <w:shd w:val="clear" w:color="auto" w:fill="92D050"/>
            <w:tcMar>
              <w:top w:w="15" w:type="dxa"/>
              <w:left w:w="108" w:type="dxa"/>
              <w:bottom w:w="0" w:type="dxa"/>
              <w:right w:w="108" w:type="dxa"/>
            </w:tcMar>
            <w:hideMark/>
          </w:tcPr>
          <w:p w:rsidR="00E57119" w:rsidRPr="00AD62C4" w:rsidRDefault="00E57119" w:rsidP="00E57119">
            <w:pPr>
              <w:jc w:val="center"/>
              <w:rPr>
                <w:rFonts w:ascii="Arial" w:eastAsia="Times New Roman" w:hAnsi="Arial" w:cs="Arial"/>
                <w:b/>
                <w:lang w:eastAsia="en-GB"/>
              </w:rPr>
            </w:pPr>
            <w:r w:rsidRPr="00AD62C4">
              <w:rPr>
                <w:rFonts w:ascii="Arial" w:hAnsi="Arial" w:cs="Arial"/>
                <w:b/>
                <w:bCs/>
                <w:color w:val="000000"/>
                <w:lang w:eastAsia="en-GB"/>
              </w:rPr>
              <w:t>Achieving</w:t>
            </w:r>
          </w:p>
        </w:tc>
      </w:tr>
    </w:tbl>
    <w:p w:rsidR="005C3329" w:rsidRPr="00AD62C4" w:rsidRDefault="005C3329" w:rsidP="005C3329">
      <w:pPr>
        <w:ind w:left="360"/>
        <w:rPr>
          <w:rFonts w:ascii="Arial" w:hAnsi="Arial" w:cs="Arial"/>
        </w:rPr>
      </w:pPr>
    </w:p>
    <w:p w:rsidR="005C3329" w:rsidRDefault="005C3329" w:rsidP="005C3329">
      <w:pPr>
        <w:rPr>
          <w:rFonts w:ascii="Arial" w:hAnsi="Arial" w:cs="Arial"/>
        </w:rPr>
      </w:pPr>
    </w:p>
    <w:p w:rsidR="00AD62C4" w:rsidRDefault="00AD62C4" w:rsidP="005C3329">
      <w:pPr>
        <w:rPr>
          <w:rFonts w:ascii="Arial" w:hAnsi="Arial" w:cs="Arial"/>
        </w:rPr>
      </w:pPr>
    </w:p>
    <w:p w:rsidR="002F17FE" w:rsidRDefault="002F17FE" w:rsidP="005C3329">
      <w:pPr>
        <w:rPr>
          <w:rFonts w:ascii="Arial" w:hAnsi="Arial" w:cs="Arial"/>
        </w:rPr>
      </w:pPr>
    </w:p>
    <w:p w:rsidR="002F17FE" w:rsidRDefault="002F17FE" w:rsidP="005C3329">
      <w:pPr>
        <w:rPr>
          <w:rFonts w:ascii="Arial" w:hAnsi="Arial" w:cs="Arial"/>
        </w:rPr>
      </w:pPr>
    </w:p>
    <w:p w:rsidR="002F17FE" w:rsidRDefault="002F17FE" w:rsidP="005C3329">
      <w:pPr>
        <w:rPr>
          <w:rFonts w:ascii="Arial" w:hAnsi="Arial" w:cs="Arial"/>
        </w:rPr>
      </w:pPr>
    </w:p>
    <w:p w:rsidR="00AD62C4" w:rsidRPr="002F17FE" w:rsidRDefault="00AD62C4" w:rsidP="00AD62C4">
      <w:pPr>
        <w:pStyle w:val="ListParagraph"/>
        <w:numPr>
          <w:ilvl w:val="0"/>
          <w:numId w:val="1"/>
        </w:numPr>
        <w:rPr>
          <w:rFonts w:ascii="Arial" w:hAnsi="Arial" w:cs="Arial"/>
          <w:b/>
        </w:rPr>
      </w:pPr>
      <w:r w:rsidRPr="002F17FE">
        <w:rPr>
          <w:rFonts w:ascii="Arial" w:hAnsi="Arial" w:cs="Arial"/>
          <w:b/>
        </w:rPr>
        <w:lastRenderedPageBreak/>
        <w:t>Patient profile report</w:t>
      </w:r>
    </w:p>
    <w:p w:rsidR="00AD62C4" w:rsidRDefault="00AD62C4" w:rsidP="00AD62C4">
      <w:pPr>
        <w:ind w:left="360"/>
        <w:rPr>
          <w:rFonts w:ascii="Arial" w:hAnsi="Arial" w:cs="Arial"/>
        </w:rPr>
      </w:pPr>
      <w:r>
        <w:rPr>
          <w:rFonts w:ascii="Arial" w:hAnsi="Arial" w:cs="Arial"/>
        </w:rPr>
        <w:t xml:space="preserve">This report shows demographic details of patients accessing both inpatient and outpatient services in the Trust during 2020, as presented to the Trust Patient Experience </w:t>
      </w:r>
      <w:proofErr w:type="gramStart"/>
      <w:r>
        <w:rPr>
          <w:rFonts w:ascii="Arial" w:hAnsi="Arial" w:cs="Arial"/>
        </w:rPr>
        <w:t>Council .</w:t>
      </w:r>
      <w:proofErr w:type="gramEnd"/>
    </w:p>
    <w:bookmarkStart w:id="0" w:name="_MON_1696076993"/>
    <w:bookmarkEnd w:id="0"/>
    <w:p w:rsidR="00AD62C4" w:rsidRDefault="00AD62C4" w:rsidP="00AD62C4">
      <w:pPr>
        <w:ind w:left="360"/>
        <w:rPr>
          <w:rFonts w:ascii="Arial" w:hAnsi="Arial" w:cs="Arial"/>
        </w:rPr>
      </w:pPr>
      <w:r>
        <w:rPr>
          <w:rFonts w:ascii="Arial" w:hAnsi="Arial" w:cs="Arial"/>
        </w:rPr>
        <w:object w:dxaOrig="1532"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6.4pt;height:49.45pt" o:ole="">
            <v:imagedata r:id="rId7" o:title=""/>
          </v:shape>
          <o:OLEObject Type="Embed" ProgID="Word.Document.8" ShapeID="_x0000_i1030" DrawAspect="Icon" ObjectID="_1696077629" r:id="rId8">
            <o:FieldCodes>\s</o:FieldCodes>
          </o:OLEObject>
        </w:object>
      </w:r>
    </w:p>
    <w:p w:rsidR="00AD62C4" w:rsidRDefault="00AD62C4" w:rsidP="00AD62C4">
      <w:pPr>
        <w:ind w:left="360"/>
        <w:rPr>
          <w:rFonts w:ascii="Arial" w:hAnsi="Arial" w:cs="Arial"/>
        </w:rPr>
      </w:pPr>
    </w:p>
    <w:p w:rsidR="00AD62C4" w:rsidRPr="002F17FE" w:rsidRDefault="00AD62C4" w:rsidP="00AD62C4">
      <w:pPr>
        <w:pStyle w:val="ListParagraph"/>
        <w:numPr>
          <w:ilvl w:val="0"/>
          <w:numId w:val="1"/>
        </w:numPr>
        <w:rPr>
          <w:rFonts w:ascii="Arial" w:hAnsi="Arial" w:cs="Arial"/>
          <w:b/>
        </w:rPr>
      </w:pPr>
      <w:r w:rsidRPr="002F17FE">
        <w:rPr>
          <w:rFonts w:ascii="Arial" w:hAnsi="Arial" w:cs="Arial"/>
          <w:b/>
        </w:rPr>
        <w:t xml:space="preserve"> Annual use of interpreters report 2020</w:t>
      </w:r>
    </w:p>
    <w:p w:rsidR="00AD62C4" w:rsidRPr="00AD62C4" w:rsidRDefault="00AD62C4" w:rsidP="00AD62C4">
      <w:pPr>
        <w:ind w:left="360"/>
        <w:rPr>
          <w:rFonts w:ascii="Arial" w:hAnsi="Arial" w:cs="Arial"/>
        </w:rPr>
      </w:pPr>
      <w:r>
        <w:rPr>
          <w:rFonts w:ascii="Arial" w:hAnsi="Arial" w:cs="Arial"/>
        </w:rPr>
        <w:t>This report contains details of the usage of all types of interpreting and translation services during 2020</w:t>
      </w:r>
    </w:p>
    <w:bookmarkStart w:id="1" w:name="_MON_1696077119"/>
    <w:bookmarkEnd w:id="1"/>
    <w:p w:rsidR="00AD62C4" w:rsidRDefault="00AD62C4" w:rsidP="00AD62C4">
      <w:pPr>
        <w:ind w:left="360"/>
        <w:rPr>
          <w:rFonts w:ascii="Arial" w:hAnsi="Arial" w:cs="Arial"/>
        </w:rPr>
      </w:pPr>
      <w:r>
        <w:rPr>
          <w:rFonts w:ascii="Arial" w:hAnsi="Arial" w:cs="Arial"/>
        </w:rPr>
        <w:object w:dxaOrig="1532" w:dyaOrig="991">
          <v:shape id="_x0000_i1031" type="#_x0000_t75" style="width:76.4pt;height:49.45pt" o:ole="">
            <v:imagedata r:id="rId9" o:title=""/>
          </v:shape>
          <o:OLEObject Type="Embed" ProgID="Word.Document.8" ShapeID="_x0000_i1031" DrawAspect="Icon" ObjectID="_1696077630" r:id="rId10">
            <o:FieldCodes>\s</o:FieldCodes>
          </o:OLEObject>
        </w:object>
      </w:r>
    </w:p>
    <w:p w:rsidR="00AD62C4" w:rsidRDefault="00AD62C4" w:rsidP="00AD62C4">
      <w:pPr>
        <w:ind w:left="360"/>
        <w:rPr>
          <w:rFonts w:ascii="Arial" w:hAnsi="Arial" w:cs="Arial"/>
        </w:rPr>
      </w:pPr>
    </w:p>
    <w:p w:rsidR="00AD62C4" w:rsidRPr="002F17FE" w:rsidRDefault="00AD62C4" w:rsidP="00AD62C4">
      <w:pPr>
        <w:pStyle w:val="ListParagraph"/>
        <w:numPr>
          <w:ilvl w:val="0"/>
          <w:numId w:val="1"/>
        </w:numPr>
        <w:rPr>
          <w:rFonts w:ascii="Arial" w:hAnsi="Arial" w:cs="Arial"/>
          <w:b/>
        </w:rPr>
      </w:pPr>
      <w:r w:rsidRPr="002F17FE">
        <w:rPr>
          <w:rFonts w:ascii="Arial" w:hAnsi="Arial" w:cs="Arial"/>
          <w:b/>
        </w:rPr>
        <w:t>Workforce race equality standard and disability equality standard reports 2020</w:t>
      </w:r>
    </w:p>
    <w:p w:rsidR="002F17FE" w:rsidRPr="002F17FE" w:rsidRDefault="002F17FE" w:rsidP="002F17FE">
      <w:pPr>
        <w:rPr>
          <w:rFonts w:ascii="Arial" w:hAnsi="Arial" w:cs="Arial"/>
        </w:rPr>
      </w:pPr>
      <w:r>
        <w:rPr>
          <w:rFonts w:ascii="Arial" w:hAnsi="Arial" w:cs="Arial"/>
        </w:rPr>
        <w:t xml:space="preserve">     </w:t>
      </w:r>
    </w:p>
    <w:bookmarkStart w:id="2" w:name="_MON_1696077163"/>
    <w:bookmarkEnd w:id="2"/>
    <w:p w:rsidR="00AD62C4" w:rsidRDefault="00AD62C4" w:rsidP="00AD62C4">
      <w:pPr>
        <w:pStyle w:val="ListParagraph"/>
        <w:rPr>
          <w:rFonts w:ascii="Arial" w:hAnsi="Arial" w:cs="Arial"/>
        </w:rPr>
      </w:pPr>
      <w:r>
        <w:rPr>
          <w:rFonts w:ascii="Arial" w:hAnsi="Arial" w:cs="Arial"/>
        </w:rPr>
        <w:object w:dxaOrig="1532" w:dyaOrig="991">
          <v:shape id="_x0000_i1032" type="#_x0000_t75" style="width:76.4pt;height:49.45pt" o:ole="">
            <v:imagedata r:id="rId11" o:title=""/>
          </v:shape>
          <o:OLEObject Type="Embed" ProgID="Word.Document.12" ShapeID="_x0000_i1032" DrawAspect="Icon" ObjectID="_1696077631" r:id="rId12">
            <o:FieldCodes>\s</o:FieldCodes>
          </o:OLEObject>
        </w:object>
      </w:r>
    </w:p>
    <w:p w:rsidR="00AD62C4" w:rsidRDefault="00AD62C4" w:rsidP="00AD62C4">
      <w:pPr>
        <w:pStyle w:val="ListParagraph"/>
        <w:rPr>
          <w:rFonts w:ascii="Arial" w:hAnsi="Arial" w:cs="Arial"/>
        </w:rPr>
      </w:pPr>
    </w:p>
    <w:p w:rsidR="00AD62C4" w:rsidRPr="002F17FE" w:rsidRDefault="00AD62C4" w:rsidP="00AD62C4">
      <w:pPr>
        <w:pStyle w:val="ListParagraph"/>
        <w:numPr>
          <w:ilvl w:val="0"/>
          <w:numId w:val="1"/>
        </w:numPr>
        <w:rPr>
          <w:rFonts w:ascii="Arial" w:hAnsi="Arial" w:cs="Arial"/>
          <w:b/>
        </w:rPr>
      </w:pPr>
      <w:r w:rsidRPr="002F17FE">
        <w:rPr>
          <w:rFonts w:ascii="Arial" w:hAnsi="Arial" w:cs="Arial"/>
          <w:b/>
        </w:rPr>
        <w:t>Workforce profile report</w:t>
      </w:r>
    </w:p>
    <w:p w:rsidR="00AD62C4" w:rsidRDefault="00AD62C4" w:rsidP="00AD62C4">
      <w:pPr>
        <w:pStyle w:val="ListParagraph"/>
        <w:rPr>
          <w:rFonts w:ascii="Arial" w:hAnsi="Arial" w:cs="Arial"/>
        </w:rPr>
      </w:pPr>
    </w:p>
    <w:p w:rsidR="00AD62C4" w:rsidRDefault="00AD62C4" w:rsidP="00AD62C4">
      <w:pPr>
        <w:pStyle w:val="ListParagraph"/>
        <w:rPr>
          <w:rFonts w:ascii="Arial" w:hAnsi="Arial" w:cs="Arial"/>
        </w:rPr>
      </w:pPr>
    </w:p>
    <w:p w:rsidR="00AD62C4" w:rsidRPr="00AD62C4" w:rsidRDefault="00AD62C4" w:rsidP="00AD62C4">
      <w:pPr>
        <w:pStyle w:val="ListParagraph"/>
        <w:rPr>
          <w:rFonts w:ascii="Arial" w:hAnsi="Arial" w:cs="Arial"/>
        </w:rPr>
      </w:pPr>
      <w:r>
        <w:rPr>
          <w:rFonts w:ascii="Arial" w:hAnsi="Arial" w:cs="Arial"/>
        </w:rPr>
        <w:object w:dxaOrig="1532" w:dyaOrig="991">
          <v:shape id="_x0000_i1034" type="#_x0000_t75" style="width:76.4pt;height:49.45pt" o:ole="">
            <v:imagedata r:id="rId13" o:title=""/>
          </v:shape>
          <o:OLEObject Type="Embed" ProgID="AcroExch.Document.DC" ShapeID="_x0000_i1034" DrawAspect="Icon" ObjectID="_1696077632" r:id="rId14"/>
        </w:object>
      </w:r>
    </w:p>
    <w:p w:rsidR="00AD62C4" w:rsidRPr="00AD62C4" w:rsidRDefault="00AD62C4" w:rsidP="00AD62C4">
      <w:pPr>
        <w:ind w:left="360"/>
        <w:rPr>
          <w:rFonts w:ascii="Arial" w:hAnsi="Arial" w:cs="Arial"/>
        </w:rPr>
      </w:pPr>
      <w:bookmarkStart w:id="3" w:name="_GoBack"/>
      <w:bookmarkEnd w:id="3"/>
    </w:p>
    <w:sectPr w:rsidR="00AD62C4" w:rsidRPr="00AD62C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2A34EE"/>
    <w:multiLevelType w:val="hybridMultilevel"/>
    <w:tmpl w:val="5DA2A5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0CF0"/>
    <w:rsid w:val="002F17FE"/>
    <w:rsid w:val="00485DD5"/>
    <w:rsid w:val="005C3329"/>
    <w:rsid w:val="006C0CF0"/>
    <w:rsid w:val="00AD62C4"/>
    <w:rsid w:val="00E571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C0CF0"/>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5C332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C0CF0"/>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5C33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967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Microsoft_Word_97_-_2003_Document1.doc"/><Relationship Id="rId13" Type="http://schemas.openxmlformats.org/officeDocument/2006/relationships/image" Target="media/image5.emf"/><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package" Target="embeddings/Microsoft_Word_Document1.docx"/><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Microsoft_Word_97_-_2003_Document2.doc"/><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1382</Words>
  <Characters>7879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St.Helens and Knowsley Teaching Hospitals</Company>
  <LinksUpToDate>false</LinksUpToDate>
  <CharactersWithSpaces>9243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Cheryl Farmer</dc:creator>
  <cp:lastModifiedBy>Cheryl Farmer</cp:lastModifiedBy>
  <cp:revision>2</cp:revision>
  <dcterms:created xsi:type="dcterms:W3CDTF">2021-10-18T14:54:00Z</dcterms:created>
  <dcterms:modified xsi:type="dcterms:W3CDTF">2021-10-18T14:54:00Z</dcterms:modified>
</cp:coreProperties>
</file>